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85CAB">
      <w:pPr>
        <w:shd w:val="clear"/>
        <w:autoSpaceDE w:val="0"/>
        <w:autoSpaceDN w:val="0"/>
        <w:adjustRightInd w:val="0"/>
        <w:snapToGrid w:val="0"/>
        <w:spacing w:line="360" w:lineRule="auto"/>
        <w:jc w:val="center"/>
        <w:rPr>
          <w:rFonts w:hint="eastAsia" w:ascii="宋体" w:hAnsi="宋体" w:eastAsia="宋体" w:cs="宋体"/>
          <w:b/>
          <w:bCs/>
          <w:color w:val="auto"/>
          <w:sz w:val="48"/>
          <w:szCs w:val="48"/>
          <w:highlight w:val="none"/>
          <w:lang w:eastAsia="zh-CN"/>
        </w:rPr>
      </w:pPr>
      <w:r>
        <w:rPr>
          <w:rFonts w:hint="eastAsia" w:ascii="宋体" w:hAnsi="宋体" w:cs="宋体"/>
          <w:b/>
          <w:bCs/>
          <w:color w:val="auto"/>
          <w:sz w:val="48"/>
          <w:szCs w:val="48"/>
          <w:highlight w:val="none"/>
          <w:lang w:eastAsia="zh-CN"/>
        </w:rPr>
        <w:t>阜阳市投资发展集团有限公司造价咨询服务机构库项目</w:t>
      </w:r>
    </w:p>
    <w:p w14:paraId="3BDA0E82">
      <w:pPr>
        <w:shd w:val="clear"/>
        <w:autoSpaceDE w:val="0"/>
        <w:autoSpaceDN w:val="0"/>
        <w:adjustRightInd w:val="0"/>
        <w:snapToGrid w:val="0"/>
        <w:spacing w:line="360" w:lineRule="auto"/>
        <w:jc w:val="center"/>
        <w:rPr>
          <w:rFonts w:ascii="宋体" w:hAnsi="宋体" w:cs="宋体"/>
          <w:b/>
          <w:bCs/>
          <w:color w:val="auto"/>
          <w:sz w:val="48"/>
          <w:szCs w:val="48"/>
          <w:highlight w:val="none"/>
        </w:rPr>
      </w:pPr>
    </w:p>
    <w:p w14:paraId="5075241D">
      <w:pPr>
        <w:shd w:val="clear"/>
        <w:autoSpaceDE w:val="0"/>
        <w:autoSpaceDN w:val="0"/>
        <w:adjustRightInd w:val="0"/>
        <w:snapToGrid w:val="0"/>
        <w:spacing w:line="360" w:lineRule="auto"/>
        <w:ind w:firstLine="2900" w:firstLineChars="344"/>
        <w:rPr>
          <w:rFonts w:ascii="宋体" w:hAnsi="宋体" w:cs="宋体"/>
          <w:b/>
          <w:bCs/>
          <w:color w:val="auto"/>
          <w:sz w:val="48"/>
          <w:szCs w:val="48"/>
          <w:highlight w:val="none"/>
        </w:rPr>
      </w:pPr>
      <w:r>
        <w:rPr>
          <w:rFonts w:hint="eastAsia" w:ascii="宋体" w:hAnsi="宋体" w:cs="宋体"/>
          <w:b/>
          <w:bCs/>
          <w:color w:val="auto"/>
          <w:spacing w:val="20"/>
          <w:kern w:val="0"/>
          <w:sz w:val="80"/>
          <w:szCs w:val="80"/>
          <w:highlight w:val="none"/>
        </w:rPr>
        <w:t>招标文件</w:t>
      </w:r>
    </w:p>
    <w:p w14:paraId="77203C69">
      <w:pPr>
        <w:shd w:val="clear"/>
        <w:autoSpaceDE w:val="0"/>
        <w:autoSpaceDN w:val="0"/>
        <w:adjustRightInd w:val="0"/>
        <w:snapToGrid w:val="0"/>
        <w:spacing w:line="360" w:lineRule="auto"/>
        <w:jc w:val="center"/>
        <w:rPr>
          <w:rFonts w:hint="eastAsia" w:ascii="宋体" w:hAnsi="宋体" w:eastAsia="宋体" w:cs="宋体"/>
          <w:b/>
          <w:bCs/>
          <w:color w:val="auto"/>
          <w:spacing w:val="20"/>
          <w:kern w:val="0"/>
          <w:sz w:val="48"/>
          <w:szCs w:val="48"/>
          <w:highlight w:val="none"/>
          <w:u w:val="single"/>
          <w:lang w:eastAsia="zh-CN"/>
        </w:rPr>
      </w:pPr>
      <w:r>
        <w:rPr>
          <w:rFonts w:hint="eastAsia" w:ascii="宋体" w:hAnsi="宋体" w:cs="宋体"/>
          <w:b/>
          <w:bCs/>
          <w:color w:val="auto"/>
          <w:spacing w:val="20"/>
          <w:kern w:val="0"/>
          <w:sz w:val="32"/>
          <w:szCs w:val="32"/>
          <w:highlight w:val="none"/>
        </w:rPr>
        <w:t>项目编号：</w:t>
      </w:r>
      <w:r>
        <w:rPr>
          <w:rFonts w:hint="eastAsia" w:ascii="宋体" w:hAnsi="宋体" w:cs="宋体"/>
          <w:b/>
          <w:bCs/>
          <w:color w:val="auto"/>
          <w:spacing w:val="20"/>
          <w:kern w:val="0"/>
          <w:sz w:val="32"/>
          <w:szCs w:val="32"/>
          <w:highlight w:val="none"/>
          <w:lang w:eastAsia="zh-CN"/>
        </w:rPr>
        <w:t>FYTC-ZZCZ-2026-079</w:t>
      </w:r>
    </w:p>
    <w:p w14:paraId="588A22C2">
      <w:pPr>
        <w:shd w:val="clear"/>
        <w:spacing w:line="360" w:lineRule="auto"/>
        <w:rPr>
          <w:rFonts w:ascii="宋体" w:hAnsi="宋体" w:cs="宋体"/>
          <w:b/>
          <w:bCs/>
          <w:color w:val="auto"/>
          <w:sz w:val="32"/>
          <w:szCs w:val="32"/>
          <w:highlight w:val="none"/>
        </w:rPr>
      </w:pPr>
    </w:p>
    <w:p w14:paraId="3F44E98D">
      <w:pPr>
        <w:shd w:val="clear"/>
        <w:spacing w:line="360" w:lineRule="auto"/>
        <w:rPr>
          <w:rFonts w:ascii="宋体" w:hAnsi="宋体" w:cs="宋体"/>
          <w:b/>
          <w:bCs/>
          <w:color w:val="auto"/>
          <w:sz w:val="32"/>
          <w:szCs w:val="32"/>
          <w:highlight w:val="none"/>
        </w:rPr>
      </w:pPr>
    </w:p>
    <w:p w14:paraId="289DDA14">
      <w:pPr>
        <w:shd w:val="clear"/>
        <w:spacing w:line="360" w:lineRule="auto"/>
        <w:rPr>
          <w:rFonts w:ascii="宋体" w:hAnsi="宋体" w:cs="宋体"/>
          <w:b/>
          <w:bCs/>
          <w:color w:val="auto"/>
          <w:sz w:val="32"/>
          <w:szCs w:val="32"/>
          <w:highlight w:val="none"/>
        </w:rPr>
      </w:pPr>
    </w:p>
    <w:p w14:paraId="4584E609">
      <w:pPr>
        <w:shd w:val="clear"/>
        <w:spacing w:line="360" w:lineRule="auto"/>
        <w:rPr>
          <w:rFonts w:ascii="宋体" w:hAnsi="宋体" w:cs="宋体"/>
          <w:b/>
          <w:bCs/>
          <w:color w:val="auto"/>
          <w:sz w:val="32"/>
          <w:szCs w:val="32"/>
          <w:highlight w:val="none"/>
        </w:rPr>
      </w:pPr>
    </w:p>
    <w:p w14:paraId="5373ED14">
      <w:pPr>
        <w:shd w:val="clear"/>
        <w:spacing w:line="360" w:lineRule="auto"/>
        <w:rPr>
          <w:rFonts w:ascii="宋体" w:hAnsi="宋体" w:cs="宋体"/>
          <w:b/>
          <w:bCs/>
          <w:color w:val="auto"/>
          <w:sz w:val="32"/>
          <w:szCs w:val="32"/>
          <w:highlight w:val="none"/>
        </w:rPr>
      </w:pPr>
    </w:p>
    <w:p w14:paraId="52960E50">
      <w:pPr>
        <w:shd w:val="clear"/>
        <w:spacing w:line="360" w:lineRule="auto"/>
        <w:rPr>
          <w:rFonts w:ascii="宋体" w:hAnsi="宋体" w:cs="宋体"/>
          <w:b/>
          <w:bCs/>
          <w:color w:val="auto"/>
          <w:sz w:val="32"/>
          <w:szCs w:val="32"/>
          <w:highlight w:val="none"/>
        </w:rPr>
      </w:pPr>
    </w:p>
    <w:p w14:paraId="163E51AB">
      <w:pPr>
        <w:shd w:val="clear"/>
        <w:spacing w:line="360" w:lineRule="auto"/>
        <w:rPr>
          <w:rFonts w:ascii="宋体" w:hAnsi="宋体" w:cs="宋体"/>
          <w:b/>
          <w:bCs/>
          <w:color w:val="auto"/>
          <w:sz w:val="32"/>
          <w:szCs w:val="32"/>
          <w:highlight w:val="none"/>
        </w:rPr>
      </w:pPr>
    </w:p>
    <w:p w14:paraId="1159C87C">
      <w:pPr>
        <w:shd w:val="clear"/>
        <w:spacing w:line="360" w:lineRule="auto"/>
        <w:ind w:firstLine="643" w:firstLineChars="200"/>
        <w:rPr>
          <w:rFonts w:hint="eastAsia" w:ascii="宋体" w:hAnsi="宋体" w:eastAsia="宋体" w:cs="宋体"/>
          <w:b/>
          <w:bCs/>
          <w:color w:val="auto"/>
          <w:spacing w:val="20"/>
          <w:kern w:val="0"/>
          <w:sz w:val="32"/>
          <w:szCs w:val="32"/>
          <w:highlight w:val="none"/>
          <w:u w:val="single"/>
          <w:lang w:eastAsia="zh-CN"/>
        </w:rPr>
      </w:pPr>
      <w:r>
        <w:rPr>
          <w:rFonts w:hint="eastAsia" w:ascii="宋体" w:hAnsi="宋体" w:cs="宋体"/>
          <w:b/>
          <w:bCs/>
          <w:color w:val="auto"/>
          <w:sz w:val="32"/>
          <w:szCs w:val="32"/>
          <w:highlight w:val="none"/>
        </w:rPr>
        <w:t>招   标   人：</w:t>
      </w:r>
      <w:r>
        <w:rPr>
          <w:rFonts w:hint="eastAsia" w:ascii="宋体" w:hAnsi="宋体" w:cs="宋体"/>
          <w:b/>
          <w:color w:val="auto"/>
          <w:sz w:val="30"/>
          <w:szCs w:val="30"/>
          <w:highlight w:val="none"/>
          <w:u w:val="single"/>
          <w:lang w:eastAsia="zh-CN"/>
        </w:rPr>
        <w:t>阜阳市投资发展集团有限公司</w:t>
      </w:r>
    </w:p>
    <w:p w14:paraId="74D2B364">
      <w:pPr>
        <w:shd w:val="clea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招标代理机构：</w:t>
      </w:r>
      <w:r>
        <w:rPr>
          <w:rFonts w:hint="eastAsia" w:ascii="宋体" w:hAnsi="宋体" w:cs="宋体"/>
          <w:b/>
          <w:bCs/>
          <w:color w:val="auto"/>
          <w:sz w:val="32"/>
          <w:szCs w:val="32"/>
          <w:highlight w:val="none"/>
          <w:u w:val="single"/>
        </w:rPr>
        <w:t>阜阳市同创投资咨询管理有限公司</w:t>
      </w:r>
    </w:p>
    <w:p w14:paraId="248647BF">
      <w:pPr>
        <w:shd w:val="clear"/>
        <w:spacing w:line="360" w:lineRule="auto"/>
        <w:jc w:val="left"/>
        <w:rPr>
          <w:rFonts w:ascii="宋体" w:hAnsi="宋体" w:cs="宋体"/>
          <w:b/>
          <w:bCs/>
          <w:color w:val="auto"/>
          <w:sz w:val="32"/>
          <w:szCs w:val="32"/>
          <w:highlight w:val="none"/>
          <w:u w:val="single"/>
        </w:rPr>
      </w:pPr>
      <w:r>
        <w:rPr>
          <w:rFonts w:hint="eastAsia" w:ascii="宋体" w:hAnsi="宋体" w:cs="宋体"/>
          <w:b/>
          <w:bCs/>
          <w:color w:val="auto"/>
          <w:sz w:val="32"/>
          <w:szCs w:val="32"/>
          <w:highlight w:val="none"/>
        </w:rPr>
        <w:t xml:space="preserve"> </w:t>
      </w:r>
    </w:p>
    <w:p w14:paraId="4F597529">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u w:val="single"/>
        </w:rPr>
        <w:t>2026</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u w:val="single"/>
          <w:lang w:val="en-US" w:eastAsia="zh-CN"/>
        </w:rPr>
        <w:t>10</w:t>
      </w:r>
      <w:r>
        <w:rPr>
          <w:rFonts w:hint="eastAsia" w:ascii="宋体" w:hAnsi="宋体" w:cs="宋体"/>
          <w:b/>
          <w:bCs/>
          <w:color w:val="auto"/>
          <w:sz w:val="32"/>
          <w:szCs w:val="32"/>
          <w:highlight w:val="none"/>
        </w:rPr>
        <w:t>月</w:t>
      </w:r>
    </w:p>
    <w:p w14:paraId="48F07A5D">
      <w:pPr>
        <w:shd w:val="clear"/>
        <w:spacing w:after="360" w:afterLines="150" w:line="360" w:lineRule="auto"/>
        <w:ind w:firstLine="437"/>
        <w:jc w:val="center"/>
        <w:rPr>
          <w:rFonts w:ascii="宋体" w:hAnsi="宋体" w:cs="宋体"/>
          <w:b/>
          <w:bCs/>
          <w:color w:val="auto"/>
          <w:sz w:val="44"/>
          <w:szCs w:val="44"/>
          <w:highlight w:val="none"/>
        </w:rPr>
      </w:pPr>
    </w:p>
    <w:p w14:paraId="0DC56EC1">
      <w:pPr>
        <w:shd w:val="clear"/>
        <w:spacing w:after="360" w:afterLines="150" w:line="360" w:lineRule="auto"/>
        <w:ind w:firstLine="437"/>
        <w:jc w:val="center"/>
        <w:rPr>
          <w:rFonts w:ascii="宋体" w:hAnsi="宋体" w:cs="宋体"/>
          <w:b/>
          <w:bCs/>
          <w:color w:val="auto"/>
          <w:sz w:val="44"/>
          <w:szCs w:val="44"/>
          <w:highlight w:val="none"/>
        </w:rPr>
      </w:pPr>
    </w:p>
    <w:p w14:paraId="193BB92E">
      <w:pPr>
        <w:shd w:val="clear"/>
        <w:spacing w:after="360" w:afterLines="150" w:line="360" w:lineRule="auto"/>
        <w:ind w:firstLine="437"/>
        <w:jc w:val="center"/>
        <w:rPr>
          <w:rFonts w:ascii="宋体" w:hAnsi="宋体" w:cs="宋体"/>
          <w:b/>
          <w:bCs/>
          <w:color w:val="auto"/>
          <w:sz w:val="44"/>
          <w:szCs w:val="44"/>
          <w:highlight w:val="none"/>
        </w:rPr>
      </w:pPr>
    </w:p>
    <w:p w14:paraId="3F1F225C">
      <w:pPr>
        <w:shd w:val="clear"/>
        <w:spacing w:after="360" w:afterLines="150"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35BA3C00">
      <w:pPr>
        <w:pStyle w:val="11"/>
        <w:shd w:val="clear"/>
        <w:tabs>
          <w:tab w:val="left" w:pos="1050"/>
          <w:tab w:val="right" w:leader="dot" w:pos="8296"/>
        </w:tabs>
        <w:spacing w:line="360" w:lineRule="auto"/>
        <w:rPr>
          <w:rFonts w:ascii="宋体" w:hAnsi="宋体" w:cs="宋体"/>
          <w:b/>
          <w:color w:val="auto"/>
          <w:sz w:val="32"/>
          <w:szCs w:val="24"/>
          <w:highlight w:val="none"/>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TOC \o "1-1" \h \z \u </w:instrText>
      </w:r>
      <w:r>
        <w:rPr>
          <w:rFonts w:hint="eastAsia" w:ascii="宋体" w:hAnsi="宋体" w:cs="宋体"/>
          <w:b/>
          <w:bCs/>
          <w:color w:val="auto"/>
          <w:sz w:val="32"/>
          <w:szCs w:val="32"/>
          <w:highlight w:val="none"/>
        </w:rPr>
        <w:fldChar w:fldCharType="separate"/>
      </w:r>
      <w:r>
        <w:rPr>
          <w:color w:val="auto"/>
          <w:highlight w:val="none"/>
        </w:rPr>
        <w:fldChar w:fldCharType="begin"/>
      </w:r>
      <w:r>
        <w:rPr>
          <w:color w:val="auto"/>
          <w:highlight w:val="none"/>
        </w:rPr>
        <w:instrText xml:space="preserve"> HYPERLINK \l "_Toc535314222" </w:instrText>
      </w:r>
      <w:r>
        <w:rPr>
          <w:color w:val="auto"/>
          <w:highlight w:val="none"/>
        </w:rPr>
        <w:fldChar w:fldCharType="separate"/>
      </w:r>
      <w:r>
        <w:rPr>
          <w:rStyle w:val="16"/>
          <w:rFonts w:hint="eastAsia" w:ascii="宋体" w:hAnsi="宋体" w:cs="宋体"/>
          <w:b/>
          <w:color w:val="auto"/>
          <w:sz w:val="32"/>
          <w:szCs w:val="22"/>
          <w:highlight w:val="none"/>
        </w:rPr>
        <w:t>第一章</w:t>
      </w:r>
      <w:r>
        <w:rPr>
          <w:rFonts w:hint="eastAsia" w:ascii="宋体" w:hAnsi="宋体" w:cs="宋体"/>
          <w:b/>
          <w:color w:val="auto"/>
          <w:sz w:val="32"/>
          <w:szCs w:val="24"/>
          <w:highlight w:val="none"/>
        </w:rPr>
        <w:tab/>
      </w:r>
      <w:r>
        <w:rPr>
          <w:rFonts w:hint="eastAsia" w:ascii="宋体" w:hAnsi="宋体" w:cs="宋体"/>
          <w:b/>
          <w:color w:val="auto"/>
          <w:sz w:val="32"/>
          <w:szCs w:val="24"/>
          <w:highlight w:val="none"/>
        </w:rPr>
        <w:t xml:space="preserve">  </w:t>
      </w:r>
      <w:r>
        <w:rPr>
          <w:rStyle w:val="16"/>
          <w:rFonts w:hint="eastAsia" w:ascii="宋体" w:hAnsi="宋体" w:cs="宋体"/>
          <w:b/>
          <w:color w:val="auto"/>
          <w:sz w:val="32"/>
          <w:szCs w:val="22"/>
          <w:highlight w:val="none"/>
        </w:rPr>
        <w:t>招标公告</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_Toc535314222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3</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002E35CC">
      <w:pPr>
        <w:pStyle w:val="11"/>
        <w:shd w:val="clear"/>
        <w:tabs>
          <w:tab w:val="right" w:leader="dot" w:pos="8296"/>
        </w:tabs>
        <w:spacing w:line="360" w:lineRule="auto"/>
        <w:rPr>
          <w:rFonts w:ascii="宋体" w:hAnsi="宋体" w:cs="宋体"/>
          <w:b/>
          <w:color w:val="auto"/>
          <w:sz w:val="32"/>
          <w:szCs w:val="22"/>
          <w:highlight w:val="none"/>
        </w:rPr>
      </w:pPr>
      <w:r>
        <w:rPr>
          <w:color w:val="auto"/>
          <w:highlight w:val="none"/>
        </w:rPr>
        <w:fldChar w:fldCharType="begin"/>
      </w:r>
      <w:r>
        <w:rPr>
          <w:color w:val="auto"/>
          <w:highlight w:val="none"/>
        </w:rPr>
        <w:instrText xml:space="preserve"> HYPERLINK \l "_Toc535314223" </w:instrText>
      </w:r>
      <w:r>
        <w:rPr>
          <w:color w:val="auto"/>
          <w:highlight w:val="none"/>
        </w:rPr>
        <w:fldChar w:fldCharType="separate"/>
      </w:r>
      <w:r>
        <w:rPr>
          <w:rStyle w:val="16"/>
          <w:rFonts w:hint="eastAsia" w:ascii="宋体" w:hAnsi="宋体" w:cs="宋体"/>
          <w:b/>
          <w:bCs/>
          <w:color w:val="auto"/>
          <w:kern w:val="44"/>
          <w:sz w:val="32"/>
          <w:szCs w:val="22"/>
          <w:highlight w:val="none"/>
        </w:rPr>
        <w:t>第二章  投标人须知</w:t>
      </w:r>
      <w:r>
        <w:rPr>
          <w:rFonts w:hint="eastAsia" w:ascii="宋体" w:hAnsi="宋体" w:cs="宋体"/>
          <w:b/>
          <w:color w:val="auto"/>
          <w:sz w:val="32"/>
          <w:szCs w:val="22"/>
          <w:highlight w:val="none"/>
        </w:rPr>
        <w:tab/>
      </w:r>
      <w:r>
        <w:rPr>
          <w:rFonts w:hint="eastAsia" w:ascii="宋体" w:hAnsi="宋体" w:cs="宋体"/>
          <w:b/>
          <w:color w:val="auto"/>
          <w:sz w:val="32"/>
          <w:szCs w:val="22"/>
          <w:highlight w:val="none"/>
          <w:lang w:val="en-US" w:eastAsia="zh-CN"/>
        </w:rPr>
        <w:t>5</w:t>
      </w:r>
      <w:r>
        <w:rPr>
          <w:rFonts w:hint="eastAsia" w:ascii="宋体" w:hAnsi="宋体" w:cs="宋体"/>
          <w:b/>
          <w:color w:val="auto"/>
          <w:sz w:val="32"/>
          <w:szCs w:val="22"/>
          <w:highlight w:val="none"/>
        </w:rPr>
        <w:fldChar w:fldCharType="end"/>
      </w:r>
    </w:p>
    <w:p w14:paraId="5A45099C">
      <w:pPr>
        <w:shd w:val="clear"/>
        <w:spacing w:line="360" w:lineRule="auto"/>
        <w:rPr>
          <w:rFonts w:hint="default"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rPr>
        <w:t xml:space="preserve">第三章 </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rPr>
        <w:t>采购需求</w:t>
      </w:r>
      <w:r>
        <w:rPr>
          <w:rFonts w:ascii="宋体" w:hAnsi="宋体" w:cs="宋体"/>
          <w:b w:val="0"/>
          <w:bCs w:val="0"/>
          <w:color w:val="auto"/>
          <w:sz w:val="32"/>
          <w:szCs w:val="32"/>
          <w:highlight w:val="none"/>
        </w:rPr>
        <w:t>…………………………………………</w:t>
      </w:r>
      <w:r>
        <w:rPr>
          <w:rFonts w:hint="eastAsia" w:ascii="宋体" w:hAnsi="宋体" w:cs="宋体"/>
          <w:b w:val="0"/>
          <w:bCs w:val="0"/>
          <w:color w:val="auto"/>
          <w:sz w:val="32"/>
          <w:szCs w:val="32"/>
          <w:highlight w:val="none"/>
          <w:lang w:val="en-US" w:eastAsia="zh-CN"/>
        </w:rPr>
        <w:t xml:space="preserve"> </w:t>
      </w:r>
      <w:r>
        <w:rPr>
          <w:rFonts w:ascii="宋体" w:hAnsi="宋体" w:cs="宋体"/>
          <w:b/>
          <w:bCs/>
          <w:color w:val="auto"/>
          <w:sz w:val="32"/>
          <w:szCs w:val="32"/>
          <w:highlight w:val="none"/>
        </w:rPr>
        <w:t>1</w:t>
      </w:r>
      <w:r>
        <w:rPr>
          <w:rFonts w:hint="eastAsia" w:ascii="宋体" w:hAnsi="宋体" w:cs="宋体"/>
          <w:b/>
          <w:bCs/>
          <w:color w:val="auto"/>
          <w:sz w:val="32"/>
          <w:szCs w:val="32"/>
          <w:highlight w:val="none"/>
          <w:lang w:val="en-US" w:eastAsia="zh-CN"/>
        </w:rPr>
        <w:t>9</w:t>
      </w:r>
    </w:p>
    <w:p w14:paraId="20B8CE65">
      <w:pPr>
        <w:pStyle w:val="11"/>
        <w:shd w:val="clear"/>
        <w:tabs>
          <w:tab w:val="right" w:leader="dot" w:pos="8296"/>
        </w:tabs>
        <w:spacing w:line="360" w:lineRule="auto"/>
        <w:rPr>
          <w:rFonts w:hint="eastAsia" w:ascii="宋体" w:hAnsi="宋体" w:eastAsia="宋体" w:cs="宋体"/>
          <w:b/>
          <w:color w:val="auto"/>
          <w:sz w:val="32"/>
          <w:szCs w:val="24"/>
          <w:highlight w:val="none"/>
          <w:lang w:val="en-US" w:eastAsia="zh-CN"/>
        </w:rPr>
      </w:pPr>
      <w:r>
        <w:rPr>
          <w:color w:val="auto"/>
          <w:highlight w:val="none"/>
        </w:rPr>
        <w:fldChar w:fldCharType="begin"/>
      </w:r>
      <w:r>
        <w:rPr>
          <w:color w:val="auto"/>
          <w:highlight w:val="none"/>
        </w:rPr>
        <w:instrText xml:space="preserve"> HYPERLINK \l "_Toc535314224" </w:instrText>
      </w:r>
      <w:r>
        <w:rPr>
          <w:color w:val="auto"/>
          <w:highlight w:val="none"/>
        </w:rPr>
        <w:fldChar w:fldCharType="separate"/>
      </w:r>
      <w:r>
        <w:rPr>
          <w:rStyle w:val="16"/>
          <w:rFonts w:hint="eastAsia" w:ascii="宋体" w:hAnsi="宋体" w:cs="宋体"/>
          <w:b/>
          <w:color w:val="auto"/>
          <w:sz w:val="32"/>
          <w:szCs w:val="22"/>
          <w:highlight w:val="none"/>
        </w:rPr>
        <w:t>第四章  评标办法</w:t>
      </w:r>
      <w:r>
        <w:rPr>
          <w:rFonts w:hint="eastAsia" w:ascii="宋体" w:hAnsi="宋体" w:cs="宋体"/>
          <w:b/>
          <w:color w:val="auto"/>
          <w:sz w:val="32"/>
          <w:szCs w:val="22"/>
          <w:highlight w:val="none"/>
        </w:rPr>
        <w:tab/>
      </w:r>
      <w:r>
        <w:rPr>
          <w:rFonts w:hint="eastAsia" w:ascii="宋体" w:hAnsi="宋体" w:cs="宋体"/>
          <w:b/>
          <w:color w:val="auto"/>
          <w:sz w:val="32"/>
          <w:szCs w:val="22"/>
          <w:highlight w:val="none"/>
          <w:lang w:val="en-US" w:eastAsia="zh-CN"/>
        </w:rPr>
        <w:t>2</w:t>
      </w:r>
      <w:r>
        <w:rPr>
          <w:rFonts w:ascii="宋体" w:hAnsi="宋体" w:cs="宋体"/>
          <w:b/>
          <w:color w:val="auto"/>
          <w:sz w:val="32"/>
          <w:szCs w:val="22"/>
          <w:highlight w:val="none"/>
        </w:rPr>
        <w:fldChar w:fldCharType="end"/>
      </w:r>
      <w:r>
        <w:rPr>
          <w:rFonts w:hint="eastAsia" w:ascii="宋体" w:hAnsi="宋体" w:cs="宋体"/>
          <w:b/>
          <w:color w:val="auto"/>
          <w:sz w:val="32"/>
          <w:szCs w:val="22"/>
          <w:highlight w:val="none"/>
          <w:lang w:val="en-US" w:eastAsia="zh-CN"/>
        </w:rPr>
        <w:t>1</w:t>
      </w:r>
    </w:p>
    <w:p w14:paraId="2942268E">
      <w:pPr>
        <w:pStyle w:val="11"/>
        <w:shd w:val="clear"/>
        <w:tabs>
          <w:tab w:val="right" w:leader="dot" w:pos="8296"/>
        </w:tabs>
        <w:spacing w:line="360" w:lineRule="auto"/>
        <w:rPr>
          <w:rFonts w:hint="eastAsia" w:ascii="宋体" w:hAnsi="宋体" w:eastAsia="宋体" w:cs="宋体"/>
          <w:b/>
          <w:color w:val="auto"/>
          <w:sz w:val="32"/>
          <w:szCs w:val="24"/>
          <w:highlight w:val="none"/>
          <w:lang w:eastAsia="zh-CN"/>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6"/>
          <w:rFonts w:hint="eastAsia" w:ascii="宋体" w:hAnsi="宋体" w:cs="宋体"/>
          <w:b/>
          <w:color w:val="auto"/>
          <w:sz w:val="32"/>
          <w:szCs w:val="22"/>
          <w:highlight w:val="none"/>
        </w:rPr>
        <w:t>第五章  合同条款及格式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lang w:val="en-US" w:eastAsia="zh-CN"/>
        </w:rPr>
        <w:t>8</w:t>
      </w:r>
    </w:p>
    <w:p w14:paraId="4C51DB98">
      <w:pPr>
        <w:pStyle w:val="11"/>
        <w:shd w:val="clear"/>
        <w:tabs>
          <w:tab w:val="right" w:leader="dot" w:pos="8296"/>
        </w:tabs>
        <w:spacing w:line="360" w:lineRule="auto"/>
        <w:rPr>
          <w:rFonts w:ascii="宋体" w:hAnsi="宋体" w:cs="宋体"/>
          <w:color w:val="auto"/>
          <w:sz w:val="22"/>
          <w:szCs w:val="24"/>
          <w:highlight w:val="none"/>
        </w:rPr>
      </w:pPr>
      <w:r>
        <w:rPr>
          <w:color w:val="auto"/>
          <w:highlight w:val="none"/>
        </w:rPr>
        <w:fldChar w:fldCharType="begin"/>
      </w:r>
      <w:r>
        <w:rPr>
          <w:color w:val="auto"/>
          <w:highlight w:val="none"/>
        </w:rPr>
        <w:instrText xml:space="preserve"> HYPERLINK \l "_Toc535314226" </w:instrText>
      </w:r>
      <w:r>
        <w:rPr>
          <w:color w:val="auto"/>
          <w:highlight w:val="none"/>
        </w:rPr>
        <w:fldChar w:fldCharType="separate"/>
      </w:r>
      <w:r>
        <w:rPr>
          <w:rStyle w:val="16"/>
          <w:rFonts w:hint="eastAsia" w:ascii="宋体" w:hAnsi="宋体" w:cs="宋体"/>
          <w:b/>
          <w:color w:val="auto"/>
          <w:sz w:val="32"/>
          <w:szCs w:val="22"/>
          <w:highlight w:val="none"/>
        </w:rPr>
        <w:t>第六章  投标文件格式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3</w:t>
      </w:r>
      <w:r>
        <w:rPr>
          <w:rFonts w:hint="eastAsia" w:ascii="宋体" w:hAnsi="宋体" w:cs="宋体"/>
          <w:b/>
          <w:color w:val="auto"/>
          <w:sz w:val="32"/>
          <w:szCs w:val="22"/>
          <w:highlight w:val="none"/>
          <w:lang w:val="en-US" w:eastAsia="zh-CN"/>
        </w:rPr>
        <w:t>4</w:t>
      </w:r>
      <w:r>
        <w:rPr>
          <w:rFonts w:ascii="宋体" w:hAnsi="宋体" w:cs="宋体"/>
          <w:b/>
          <w:color w:val="auto"/>
          <w:sz w:val="32"/>
          <w:szCs w:val="22"/>
          <w:highlight w:val="none"/>
        </w:rPr>
        <w:fldChar w:fldCharType="end"/>
      </w:r>
    </w:p>
    <w:p w14:paraId="2D28C523">
      <w:pPr>
        <w:pStyle w:val="4"/>
        <w:shd w:val="clear"/>
        <w:spacing w:line="360" w:lineRule="auto"/>
        <w:rPr>
          <w:rFonts w:ascii="宋体" w:hAnsi="宋体" w:eastAsia="宋体" w:cs="宋体"/>
          <w:color w:val="auto"/>
          <w:highlight w:val="none"/>
        </w:rPr>
      </w:pPr>
      <w:r>
        <w:rPr>
          <w:rFonts w:hint="eastAsia" w:ascii="宋体" w:hAnsi="宋体" w:eastAsia="宋体" w:cs="宋体"/>
          <w:b w:val="0"/>
          <w:bCs w:val="0"/>
          <w:color w:val="auto"/>
          <w:highlight w:val="none"/>
        </w:rPr>
        <w:fldChar w:fldCharType="end"/>
      </w:r>
    </w:p>
    <w:p w14:paraId="76F7B163">
      <w:pPr>
        <w:shd w:val="clear"/>
        <w:spacing w:line="360" w:lineRule="auto"/>
        <w:rPr>
          <w:rFonts w:ascii="宋体" w:hAnsi="宋体" w:cs="宋体"/>
          <w:color w:val="auto"/>
          <w:szCs w:val="28"/>
          <w:highlight w:val="none"/>
        </w:rPr>
      </w:pPr>
    </w:p>
    <w:p w14:paraId="6AE3B3C2">
      <w:pPr>
        <w:widowControl/>
        <w:shd w:val="clear"/>
        <w:spacing w:line="360" w:lineRule="auto"/>
        <w:jc w:val="left"/>
        <w:rPr>
          <w:rFonts w:ascii="宋体" w:hAnsi="宋体" w:cs="宋体"/>
          <w:color w:val="auto"/>
          <w:szCs w:val="28"/>
          <w:highlight w:val="none"/>
        </w:rPr>
      </w:pPr>
      <w:r>
        <w:rPr>
          <w:rFonts w:hint="eastAsia" w:ascii="宋体" w:hAnsi="宋体" w:cs="宋体"/>
          <w:color w:val="auto"/>
          <w:szCs w:val="28"/>
          <w:highlight w:val="none"/>
        </w:rPr>
        <w:br w:type="page"/>
      </w:r>
    </w:p>
    <w:p w14:paraId="66A80E37">
      <w:pPr>
        <w:pStyle w:val="3"/>
        <w:shd w:val="clear"/>
        <w:spacing w:line="360" w:lineRule="auto"/>
        <w:jc w:val="center"/>
        <w:rPr>
          <w:rFonts w:ascii="宋体" w:hAnsi="宋体" w:cs="宋体"/>
          <w:color w:val="auto"/>
          <w:sz w:val="32"/>
          <w:szCs w:val="32"/>
          <w:highlight w:val="none"/>
        </w:rPr>
      </w:pPr>
      <w:bookmarkStart w:id="0" w:name="_Toc368985787"/>
      <w:bookmarkStart w:id="1" w:name="_Toc4518"/>
      <w:bookmarkStart w:id="2" w:name="_Toc535314222"/>
      <w:bookmarkStart w:id="3" w:name="_Toc355604664"/>
      <w:bookmarkStart w:id="4" w:name="_Toc17400"/>
      <w:bookmarkStart w:id="5" w:name="_Toc29507"/>
      <w:r>
        <w:rPr>
          <w:rFonts w:hint="eastAsia" w:ascii="宋体" w:hAnsi="宋体" w:cs="宋体"/>
          <w:color w:val="auto"/>
          <w:sz w:val="32"/>
          <w:szCs w:val="32"/>
          <w:highlight w:val="none"/>
        </w:rPr>
        <w:t>第一章 招标公告</w:t>
      </w:r>
      <w:bookmarkEnd w:id="0"/>
      <w:bookmarkEnd w:id="1"/>
      <w:bookmarkEnd w:id="2"/>
      <w:bookmarkEnd w:id="3"/>
      <w:bookmarkEnd w:id="4"/>
      <w:bookmarkEnd w:id="5"/>
    </w:p>
    <w:p w14:paraId="5CC3F5CD">
      <w:pPr>
        <w:shd w:val="clear"/>
        <w:spacing w:line="400" w:lineRule="exact"/>
        <w:ind w:firstLine="440" w:firstLineChars="200"/>
        <w:outlineLvl w:val="1"/>
        <w:rPr>
          <w:rFonts w:ascii="宋体" w:hAnsi="宋体" w:cs="宋体"/>
          <w:color w:val="auto"/>
          <w:sz w:val="22"/>
          <w:highlight w:val="none"/>
        </w:rPr>
      </w:pPr>
      <w:bookmarkStart w:id="6" w:name="_Toc12707"/>
      <w:bookmarkStart w:id="7" w:name="_Toc26029"/>
      <w:bookmarkStart w:id="8" w:name="OLE_LINK3"/>
      <w:bookmarkStart w:id="9" w:name="OLE_LINK1"/>
      <w:bookmarkStart w:id="10" w:name="OLE_LINK4"/>
      <w:r>
        <w:rPr>
          <w:rFonts w:hint="eastAsia" w:ascii="宋体" w:hAnsi="宋体" w:cs="宋体"/>
          <w:color w:val="auto"/>
          <w:sz w:val="22"/>
          <w:highlight w:val="none"/>
        </w:rPr>
        <w:t>阜阳市同创投资咨询管理有限公司受</w:t>
      </w:r>
      <w:r>
        <w:rPr>
          <w:rFonts w:hint="eastAsia" w:ascii="宋体" w:hAnsi="宋体" w:cs="宋体"/>
          <w:color w:val="auto"/>
          <w:sz w:val="22"/>
          <w:highlight w:val="none"/>
          <w:lang w:eastAsia="zh-CN"/>
        </w:rPr>
        <w:t>阜阳市投资发展集团有限公司</w:t>
      </w:r>
      <w:r>
        <w:rPr>
          <w:rFonts w:hint="eastAsia" w:ascii="宋体" w:hAnsi="宋体" w:cs="宋体"/>
          <w:color w:val="auto"/>
          <w:sz w:val="22"/>
          <w:highlight w:val="none"/>
        </w:rPr>
        <w:t>的委托，现对</w:t>
      </w:r>
      <w:r>
        <w:rPr>
          <w:rFonts w:hint="eastAsia" w:ascii="宋体" w:hAnsi="宋体" w:cs="宋体"/>
          <w:color w:val="auto"/>
          <w:sz w:val="22"/>
          <w:highlight w:val="none"/>
          <w:lang w:eastAsia="zh-CN"/>
        </w:rPr>
        <w:t>阜阳市投资发展集团有限公司造价咨询服务机构库项目</w:t>
      </w:r>
      <w:r>
        <w:rPr>
          <w:rFonts w:hint="eastAsia" w:ascii="宋体" w:hAnsi="宋体" w:cs="宋体"/>
          <w:color w:val="auto"/>
          <w:sz w:val="22"/>
          <w:highlight w:val="none"/>
        </w:rPr>
        <w:t>进行公开招标，欢迎符合资格条件的投标人参与本项目的投标。</w:t>
      </w:r>
      <w:bookmarkEnd w:id="6"/>
      <w:bookmarkEnd w:id="7"/>
    </w:p>
    <w:p w14:paraId="76F6D834">
      <w:pPr>
        <w:widowControl/>
        <w:shd w:val="clear"/>
        <w:spacing w:line="400" w:lineRule="exact"/>
        <w:ind w:firstLine="643"/>
        <w:rPr>
          <w:rFonts w:ascii="宋体" w:hAnsi="宋体" w:cs="宋体"/>
          <w:color w:val="auto"/>
          <w:sz w:val="22"/>
          <w:highlight w:val="none"/>
        </w:rPr>
      </w:pPr>
      <w:r>
        <w:rPr>
          <w:rFonts w:hint="eastAsia" w:ascii="宋体" w:hAnsi="宋体" w:cs="宋体"/>
          <w:color w:val="auto"/>
          <w:sz w:val="22"/>
          <w:highlight w:val="none"/>
        </w:rPr>
        <w:t>一、项目名称及内容</w:t>
      </w:r>
    </w:p>
    <w:p w14:paraId="299A66E8">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项目编号：</w:t>
      </w:r>
      <w:r>
        <w:rPr>
          <w:rFonts w:hint="eastAsia" w:ascii="宋体" w:hAnsi="宋体" w:cs="宋体"/>
          <w:color w:val="auto"/>
          <w:sz w:val="22"/>
          <w:highlight w:val="none"/>
          <w:lang w:eastAsia="zh-CN"/>
        </w:rPr>
        <w:t>FYTC-ZZCZ-2026-079</w:t>
      </w:r>
      <w:r>
        <w:rPr>
          <w:rFonts w:hint="eastAsia" w:ascii="宋体" w:hAnsi="宋体" w:cs="宋体"/>
          <w:color w:val="auto"/>
          <w:sz w:val="22"/>
          <w:highlight w:val="none"/>
        </w:rPr>
        <w:t xml:space="preserve">                    </w:t>
      </w:r>
    </w:p>
    <w:p w14:paraId="521BD1F5">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项目名称：</w:t>
      </w:r>
      <w:r>
        <w:rPr>
          <w:rFonts w:hint="eastAsia" w:ascii="宋体" w:hAnsi="宋体" w:cs="宋体"/>
          <w:color w:val="auto"/>
          <w:sz w:val="22"/>
          <w:highlight w:val="none"/>
          <w:lang w:eastAsia="zh-CN"/>
        </w:rPr>
        <w:t>阜阳市投资发展集团有限公司造价咨询服务机构库项目</w:t>
      </w:r>
      <w:r>
        <w:rPr>
          <w:rFonts w:hint="eastAsia" w:ascii="宋体" w:hAnsi="宋体" w:cs="宋体"/>
          <w:color w:val="auto"/>
          <w:sz w:val="22"/>
          <w:highlight w:val="none"/>
        </w:rPr>
        <w:t xml:space="preserve">       </w:t>
      </w:r>
    </w:p>
    <w:p w14:paraId="1C604B72">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3.</w:t>
      </w:r>
      <w:r>
        <w:rPr>
          <w:rFonts w:hint="eastAsia" w:ascii="宋体" w:hAnsi="宋体" w:cs="宋体"/>
          <w:color w:val="auto"/>
          <w:sz w:val="22"/>
          <w:highlight w:val="none"/>
        </w:rPr>
        <w:t>项目单位：</w:t>
      </w:r>
      <w:r>
        <w:rPr>
          <w:rFonts w:hint="eastAsia" w:ascii="宋体" w:hAnsi="宋体" w:cs="宋体"/>
          <w:color w:val="auto"/>
          <w:sz w:val="22"/>
          <w:highlight w:val="none"/>
          <w:lang w:eastAsia="zh-CN"/>
        </w:rPr>
        <w:t>阜阳市投资发展集团有限公司</w:t>
      </w:r>
      <w:r>
        <w:rPr>
          <w:rFonts w:hint="eastAsia" w:ascii="宋体" w:hAnsi="宋体" w:cs="宋体"/>
          <w:color w:val="auto"/>
          <w:sz w:val="22"/>
          <w:highlight w:val="none"/>
        </w:rPr>
        <w:t xml:space="preserve">    </w:t>
      </w:r>
    </w:p>
    <w:p w14:paraId="1C0B38F7">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4.</w:t>
      </w:r>
      <w:r>
        <w:rPr>
          <w:rFonts w:hint="eastAsia" w:ascii="宋体" w:hAnsi="宋体" w:cs="宋体"/>
          <w:color w:val="auto"/>
          <w:sz w:val="22"/>
          <w:highlight w:val="none"/>
        </w:rPr>
        <w:t xml:space="preserve">资金来源：自筹资金        </w:t>
      </w:r>
    </w:p>
    <w:p w14:paraId="2D0612DA">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5.</w:t>
      </w:r>
      <w:r>
        <w:rPr>
          <w:rFonts w:hint="eastAsia" w:ascii="宋体" w:hAnsi="宋体" w:cs="宋体"/>
          <w:color w:val="auto"/>
          <w:sz w:val="22"/>
          <w:highlight w:val="none"/>
        </w:rPr>
        <w:t>标段划分：一个标段</w:t>
      </w:r>
    </w:p>
    <w:p w14:paraId="7DEE6721">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6.</w:t>
      </w:r>
      <w:r>
        <w:rPr>
          <w:rFonts w:hint="eastAsia" w:ascii="宋体" w:hAnsi="宋体" w:cs="宋体"/>
          <w:color w:val="auto"/>
          <w:sz w:val="22"/>
          <w:highlight w:val="none"/>
        </w:rPr>
        <w:t>招标范围：</w:t>
      </w:r>
      <w:r>
        <w:rPr>
          <w:rFonts w:hint="eastAsia" w:ascii="宋体" w:hAnsi="宋体" w:cs="宋体"/>
          <w:color w:val="auto"/>
          <w:sz w:val="22"/>
          <w:highlight w:val="none"/>
          <w:lang w:eastAsia="zh-CN"/>
        </w:rPr>
        <w:t>提供建设项目全周期造价咨询，包含估算、概算、预算、清单及控制价编制审核、竣工结算审核、</w:t>
      </w:r>
      <w:r>
        <w:rPr>
          <w:rFonts w:hint="eastAsia" w:ascii="宋体" w:hAnsi="宋体" w:cs="宋体"/>
          <w:color w:val="auto"/>
          <w:sz w:val="22"/>
          <w:highlight w:val="none"/>
          <w:lang w:val="en-US" w:eastAsia="zh-CN"/>
        </w:rPr>
        <w:t>跟踪审计</w:t>
      </w:r>
      <w:r>
        <w:rPr>
          <w:rFonts w:hint="eastAsia" w:ascii="宋体" w:hAnsi="宋体" w:cs="宋体"/>
          <w:color w:val="auto"/>
          <w:sz w:val="22"/>
          <w:highlight w:val="none"/>
          <w:lang w:eastAsia="zh-CN"/>
        </w:rPr>
        <w:t>等服务</w:t>
      </w:r>
      <w:r>
        <w:rPr>
          <w:rFonts w:hint="eastAsia" w:ascii="宋体" w:hAnsi="宋体" w:cs="宋体"/>
          <w:color w:val="auto"/>
          <w:sz w:val="22"/>
          <w:highlight w:val="none"/>
        </w:rPr>
        <w:t>。</w:t>
      </w:r>
    </w:p>
    <w:p w14:paraId="58CE6A23">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7.</w:t>
      </w:r>
      <w:r>
        <w:rPr>
          <w:rFonts w:hint="eastAsia" w:ascii="宋体" w:hAnsi="宋体" w:cs="宋体"/>
          <w:color w:val="auto"/>
          <w:sz w:val="22"/>
          <w:highlight w:val="none"/>
        </w:rPr>
        <w:t>服务期限：</w:t>
      </w:r>
      <w:r>
        <w:rPr>
          <w:rFonts w:hint="eastAsia" w:ascii="宋体" w:hAnsi="宋体" w:cs="宋体"/>
          <w:color w:val="auto"/>
          <w:sz w:val="22"/>
          <w:highlight w:val="none"/>
          <w:lang w:eastAsia="zh-CN"/>
        </w:rPr>
        <w:t>3年（自签订入库协议之日起计算）。招标人采取考评淘汰制及出现重大失误淘汰制，每年考评一次。采取1+1+1年方式，第一年全年考核合格，自然转入第二年服务期，第二年全年考核合格，自然转入第三年服务期，</w:t>
      </w:r>
      <w:r>
        <w:rPr>
          <w:rFonts w:hint="eastAsia" w:ascii="宋体" w:hAnsi="宋体" w:cs="宋体"/>
          <w:color w:val="auto"/>
          <w:sz w:val="22"/>
          <w:highlight w:val="none"/>
          <w:lang w:val="en-US" w:eastAsia="zh-CN"/>
        </w:rPr>
        <w:t>任意一年考核不合格</w:t>
      </w:r>
      <w:r>
        <w:rPr>
          <w:rFonts w:hint="eastAsia" w:ascii="宋体" w:hAnsi="宋体" w:cs="宋体"/>
          <w:color w:val="auto"/>
          <w:sz w:val="22"/>
          <w:highlight w:val="none"/>
          <w:lang w:eastAsia="zh-CN"/>
        </w:rPr>
        <w:t>则终止合同。服务期内考核不合格的单位不得参加下一轮本项目扩库的投标。招标人不保证有效期内入库单位的最低项目数量和项目的连续性</w:t>
      </w:r>
      <w:r>
        <w:rPr>
          <w:rFonts w:hint="eastAsia" w:ascii="宋体" w:hAnsi="宋体" w:cs="宋体"/>
          <w:color w:val="auto"/>
          <w:sz w:val="22"/>
          <w:highlight w:val="none"/>
        </w:rPr>
        <w:t>。</w:t>
      </w:r>
    </w:p>
    <w:p w14:paraId="265EC07A">
      <w:pPr>
        <w:widowControl/>
        <w:shd w:val="clear"/>
        <w:adjustRightInd w:val="0"/>
        <w:snapToGrid w:val="0"/>
        <w:spacing w:line="400" w:lineRule="exact"/>
        <w:ind w:firstLine="641"/>
        <w:rPr>
          <w:rFonts w:ascii="宋体" w:hAnsi="宋体" w:cs="宋体"/>
          <w:color w:val="auto"/>
          <w:sz w:val="22"/>
          <w:highlight w:val="none"/>
        </w:rPr>
      </w:pPr>
      <w:r>
        <w:rPr>
          <w:rFonts w:hint="eastAsia" w:ascii="宋体" w:hAnsi="宋体" w:cs="宋体"/>
          <w:color w:val="auto"/>
          <w:sz w:val="22"/>
          <w:highlight w:val="none"/>
          <w:lang w:eastAsia="zh-CN"/>
        </w:rPr>
        <w:t>8.</w:t>
      </w:r>
      <w:r>
        <w:rPr>
          <w:rFonts w:hint="eastAsia" w:ascii="宋体" w:hAnsi="宋体" w:cs="宋体"/>
          <w:color w:val="auto"/>
          <w:sz w:val="22"/>
          <w:highlight w:val="none"/>
        </w:rPr>
        <w:t>入库单位数量：5家。</w:t>
      </w:r>
    </w:p>
    <w:p w14:paraId="772F4B19">
      <w:pPr>
        <w:shd w:val="clear"/>
        <w:spacing w:line="400" w:lineRule="exact"/>
        <w:ind w:firstLine="660" w:firstLineChars="300"/>
        <w:outlineLvl w:val="1"/>
        <w:rPr>
          <w:rFonts w:ascii="宋体" w:hAnsi="宋体" w:cs="宋体"/>
          <w:color w:val="auto"/>
          <w:sz w:val="22"/>
          <w:highlight w:val="none"/>
        </w:rPr>
      </w:pPr>
      <w:r>
        <w:rPr>
          <w:rFonts w:hint="eastAsia" w:ascii="宋体" w:hAnsi="宋体" w:cs="宋体"/>
          <w:color w:val="auto"/>
          <w:sz w:val="22"/>
          <w:highlight w:val="none"/>
          <w:lang w:eastAsia="zh-CN"/>
        </w:rPr>
        <w:t>9.</w:t>
      </w:r>
      <w:r>
        <w:rPr>
          <w:rFonts w:hint="eastAsia" w:ascii="宋体" w:hAnsi="宋体" w:cs="宋体"/>
          <w:color w:val="auto"/>
          <w:sz w:val="22"/>
          <w:highlight w:val="none"/>
        </w:rPr>
        <w:t>本项目不接受联合体投标；</w:t>
      </w:r>
    </w:p>
    <w:p w14:paraId="6D0E508E">
      <w:pPr>
        <w:shd w:val="clear"/>
        <w:spacing w:line="400" w:lineRule="exact"/>
        <w:outlineLvl w:val="1"/>
        <w:rPr>
          <w:rFonts w:ascii="宋体" w:hAnsi="宋体" w:cs="宋体"/>
          <w:color w:val="auto"/>
          <w:sz w:val="22"/>
          <w:highlight w:val="none"/>
        </w:rPr>
      </w:pPr>
      <w:bookmarkStart w:id="11" w:name="_Toc355604667"/>
      <w:bookmarkStart w:id="12" w:name="OLE_LINK2"/>
      <w:r>
        <w:rPr>
          <w:rFonts w:hint="eastAsia" w:ascii="宋体" w:hAnsi="宋体" w:cs="宋体"/>
          <w:color w:val="auto"/>
          <w:sz w:val="22"/>
          <w:highlight w:val="none"/>
        </w:rPr>
        <w:t xml:space="preserve"> </w:t>
      </w:r>
      <w:bookmarkStart w:id="13" w:name="_Toc11902"/>
      <w:bookmarkStart w:id="14" w:name="_Toc15425"/>
      <w:r>
        <w:rPr>
          <w:rFonts w:hint="eastAsia" w:ascii="宋体" w:hAnsi="宋体" w:cs="宋体"/>
          <w:color w:val="auto"/>
          <w:sz w:val="22"/>
          <w:highlight w:val="none"/>
        </w:rPr>
        <w:t xml:space="preserve">   二、投标人资格要求</w:t>
      </w:r>
      <w:bookmarkEnd w:id="11"/>
      <w:bookmarkEnd w:id="13"/>
      <w:bookmarkEnd w:id="14"/>
    </w:p>
    <w:bookmarkEnd w:id="12"/>
    <w:p w14:paraId="78E709B1">
      <w:pPr>
        <w:pStyle w:val="13"/>
        <w:spacing w:line="360" w:lineRule="auto"/>
        <w:ind w:left="0" w:leftChars="0" w:firstLine="440"/>
        <w:rPr>
          <w:rFonts w:hint="eastAsia"/>
          <w:lang w:val="en-US" w:eastAsia="zh-CN"/>
        </w:rPr>
      </w:pPr>
      <w:bookmarkStart w:id="15" w:name="_Toc355604668"/>
      <w:r>
        <w:rPr>
          <w:rFonts w:hint="eastAsia"/>
          <w:lang w:val="en-US" w:eastAsia="zh-CN"/>
        </w:rPr>
        <w:t>1.在中国境内注册，具有独立法人资格，有效的营业执照。（须提供营业执照复印件）；</w:t>
      </w:r>
    </w:p>
    <w:p w14:paraId="2AD45A3A">
      <w:pPr>
        <w:pStyle w:val="13"/>
        <w:spacing w:line="360" w:lineRule="auto"/>
        <w:ind w:left="0" w:leftChars="0" w:firstLine="440"/>
        <w:rPr>
          <w:rFonts w:hint="eastAsia"/>
          <w:lang w:val="en-US" w:eastAsia="zh-CN"/>
        </w:rPr>
      </w:pPr>
      <w:r>
        <w:rPr>
          <w:rFonts w:hint="eastAsia"/>
          <w:lang w:val="en-US" w:eastAsia="zh-CN"/>
        </w:rPr>
        <w:t xml:space="preserve">2近三年内（自本招标公告发布之日起向前追溯三年）没有被行政主管部门限制投标、无违法违规行为，没有被行政主管部门列入黑名单或不良行为记录；（按投标文件格式要求签署投标函即可）；    </w:t>
      </w:r>
    </w:p>
    <w:p w14:paraId="1FD110B8">
      <w:pPr>
        <w:pStyle w:val="13"/>
        <w:spacing w:line="360" w:lineRule="auto"/>
        <w:ind w:left="0" w:leftChars="0" w:firstLine="440"/>
        <w:rPr>
          <w:rFonts w:hint="eastAsia"/>
          <w:lang w:val="en-US" w:eastAsia="zh-CN"/>
        </w:rPr>
      </w:pPr>
      <w:r>
        <w:rPr>
          <w:rFonts w:hint="eastAsia"/>
          <w:lang w:val="en-US" w:eastAsia="zh-CN"/>
        </w:rPr>
        <w:t>3.中标单位在阜阳开展业务前，如需到当地有关部门备案、登记、许可的，应按有关规定办理（仅需在开展业务前办理的，潜在投标人在本次开标前无需办理）。</w:t>
      </w:r>
    </w:p>
    <w:p w14:paraId="47DE7D39">
      <w:pPr>
        <w:pStyle w:val="13"/>
        <w:spacing w:line="360" w:lineRule="auto"/>
        <w:ind w:left="0" w:leftChars="0" w:firstLine="440"/>
        <w:rPr>
          <w:rFonts w:hint="eastAsia"/>
          <w:lang w:val="en-US" w:eastAsia="zh-CN"/>
        </w:rPr>
      </w:pPr>
      <w:r>
        <w:rPr>
          <w:rFonts w:hint="eastAsia"/>
          <w:lang w:val="en-US" w:eastAsia="zh-CN"/>
        </w:rPr>
        <w:t>4.近三年内（自招标公告发布之日起向前追溯三年）无以下行为：（1）被行政主管部门限制投标的；</w:t>
      </w:r>
    </w:p>
    <w:p w14:paraId="2697D110">
      <w:pPr>
        <w:pStyle w:val="13"/>
        <w:spacing w:line="360" w:lineRule="auto"/>
        <w:ind w:left="0" w:leftChars="0" w:firstLine="440"/>
        <w:rPr>
          <w:rFonts w:hint="eastAsia"/>
          <w:lang w:val="en-US" w:eastAsia="zh-CN"/>
        </w:rPr>
      </w:pPr>
      <w:r>
        <w:rPr>
          <w:rFonts w:hint="eastAsia"/>
          <w:lang w:val="en-US" w:eastAsia="zh-CN"/>
        </w:rPr>
        <w:t>（2）有违法违规行为的；</w:t>
      </w:r>
    </w:p>
    <w:p w14:paraId="5F995B44">
      <w:pPr>
        <w:pStyle w:val="13"/>
        <w:spacing w:line="360" w:lineRule="auto"/>
        <w:ind w:left="0" w:leftChars="0" w:firstLine="440"/>
        <w:rPr>
          <w:rFonts w:hint="eastAsia"/>
          <w:lang w:val="en-US" w:eastAsia="zh-CN"/>
        </w:rPr>
      </w:pPr>
      <w:r>
        <w:rPr>
          <w:rFonts w:hint="eastAsia"/>
          <w:lang w:val="en-US" w:eastAsia="zh-CN"/>
        </w:rPr>
        <w:t>（3）有违法犯罪记录的；</w:t>
      </w:r>
    </w:p>
    <w:p w14:paraId="239E0272">
      <w:pPr>
        <w:pStyle w:val="13"/>
        <w:spacing w:line="360" w:lineRule="auto"/>
        <w:ind w:left="0" w:leftChars="0" w:firstLine="440"/>
        <w:rPr>
          <w:color w:val="auto"/>
          <w:sz w:val="22"/>
          <w:szCs w:val="22"/>
          <w:highlight w:val="none"/>
        </w:rPr>
      </w:pPr>
      <w:r>
        <w:rPr>
          <w:rFonts w:hint="eastAsia"/>
          <w:lang w:val="en-US" w:eastAsia="zh-CN"/>
        </w:rPr>
        <w:t>（4）有不良行为记录的。（按投标文件格式要求签署投标函及投标函附录即可）</w:t>
      </w:r>
      <w:r>
        <w:rPr>
          <w:rFonts w:hint="eastAsia"/>
          <w:color w:val="auto"/>
          <w:sz w:val="22"/>
          <w:szCs w:val="22"/>
          <w:highlight w:val="none"/>
        </w:rPr>
        <w:t>。</w:t>
      </w:r>
    </w:p>
    <w:p w14:paraId="4E0FE923">
      <w:pPr>
        <w:shd w:val="clear"/>
        <w:spacing w:line="400" w:lineRule="exact"/>
        <w:outlineLvl w:val="1"/>
        <w:rPr>
          <w:rFonts w:ascii="宋体" w:hAnsi="宋体" w:cs="宋体"/>
          <w:color w:val="auto"/>
          <w:sz w:val="22"/>
          <w:highlight w:val="none"/>
        </w:rPr>
      </w:pPr>
      <w:r>
        <w:rPr>
          <w:rFonts w:hint="eastAsia" w:ascii="宋体" w:hAnsi="宋体" w:cs="宋体"/>
          <w:color w:val="auto"/>
          <w:sz w:val="22"/>
          <w:highlight w:val="none"/>
        </w:rPr>
        <w:t xml:space="preserve">   </w:t>
      </w:r>
      <w:bookmarkEnd w:id="15"/>
      <w:r>
        <w:rPr>
          <w:rFonts w:hint="eastAsia" w:ascii="宋体" w:hAnsi="宋体" w:cs="宋体"/>
          <w:color w:val="auto"/>
          <w:sz w:val="22"/>
          <w:highlight w:val="none"/>
        </w:rPr>
        <w:t>三、报名及招标文件发售办法</w:t>
      </w:r>
    </w:p>
    <w:p w14:paraId="55D9F6D9">
      <w:pPr>
        <w:shd w:val="clear"/>
        <w:spacing w:line="400" w:lineRule="exact"/>
        <w:ind w:firstLine="660" w:firstLineChars="300"/>
        <w:outlineLvl w:val="1"/>
        <w:rPr>
          <w:rFonts w:ascii="宋体" w:hAnsi="宋体" w:cs="宋体"/>
          <w:color w:val="auto"/>
          <w:sz w:val="22"/>
          <w:highlight w:val="none"/>
        </w:rPr>
      </w:pPr>
      <w:bookmarkStart w:id="16" w:name="_Toc355604669"/>
      <w:r>
        <w:rPr>
          <w:rFonts w:hint="eastAsia" w:ascii="宋体" w:hAnsi="宋体" w:cs="宋体"/>
          <w:color w:val="auto"/>
          <w:sz w:val="22"/>
          <w:highlight w:val="none"/>
          <w:lang w:eastAsia="zh-CN"/>
        </w:rPr>
        <w:t>1.</w:t>
      </w:r>
      <w:r>
        <w:rPr>
          <w:rFonts w:hint="eastAsia" w:ascii="宋体" w:hAnsi="宋体" w:cs="宋体"/>
          <w:color w:val="auto"/>
          <w:sz w:val="22"/>
          <w:highlight w:val="none"/>
        </w:rPr>
        <w:t>报名方式：凡有意参加的投标人，可在</w:t>
      </w:r>
      <w:r>
        <w:rPr>
          <w:rFonts w:hint="eastAsia" w:ascii="宋体" w:hAnsi="宋体" w:cs="宋体"/>
          <w:color w:val="auto"/>
          <w:kern w:val="0"/>
          <w:sz w:val="22"/>
          <w:highlight w:val="none"/>
          <w:lang w:eastAsia="zh-CN"/>
        </w:rPr>
        <w:t>阜阳市投资发展集团有限公司</w:t>
      </w:r>
      <w:r>
        <w:rPr>
          <w:rFonts w:hint="eastAsia" w:ascii="宋体" w:hAnsi="宋体" w:cs="宋体"/>
          <w:color w:val="auto"/>
          <w:kern w:val="0"/>
          <w:sz w:val="22"/>
          <w:highlight w:val="none"/>
        </w:rPr>
        <w:t>网站http://www.fytfjt.com/</w:t>
      </w:r>
      <w:r>
        <w:rPr>
          <w:rFonts w:hint="eastAsia" w:ascii="宋体" w:hAnsi="宋体" w:cs="宋体"/>
          <w:color w:val="auto"/>
          <w:sz w:val="22"/>
          <w:highlight w:val="none"/>
        </w:rPr>
        <w:t xml:space="preserve">下载招标文件。      </w:t>
      </w:r>
    </w:p>
    <w:p w14:paraId="3D2DB348">
      <w:pPr>
        <w:shd w:val="clear"/>
        <w:spacing w:line="400" w:lineRule="exact"/>
        <w:ind w:firstLine="660" w:firstLineChars="300"/>
        <w:outlineLvl w:val="1"/>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招标文件价格：免收</w:t>
      </w:r>
    </w:p>
    <w:p w14:paraId="44967835">
      <w:pPr>
        <w:shd w:val="clear"/>
        <w:spacing w:line="400" w:lineRule="exact"/>
        <w:outlineLvl w:val="1"/>
        <w:rPr>
          <w:rFonts w:ascii="宋体" w:hAnsi="宋体" w:cs="宋体"/>
          <w:color w:val="auto"/>
          <w:sz w:val="22"/>
          <w:highlight w:val="none"/>
        </w:rPr>
      </w:pPr>
      <w:r>
        <w:rPr>
          <w:rFonts w:hint="eastAsia" w:ascii="宋体" w:hAnsi="宋体" w:cs="宋体"/>
          <w:color w:val="auto"/>
          <w:sz w:val="22"/>
          <w:highlight w:val="none"/>
        </w:rPr>
        <w:t xml:space="preserve">   </w:t>
      </w:r>
      <w:bookmarkEnd w:id="16"/>
      <w:r>
        <w:rPr>
          <w:rFonts w:hint="eastAsia" w:ascii="宋体" w:hAnsi="宋体" w:cs="宋体"/>
          <w:color w:val="auto"/>
          <w:sz w:val="22"/>
          <w:highlight w:val="none"/>
        </w:rPr>
        <w:t>四、开标时间及地点</w:t>
      </w:r>
    </w:p>
    <w:p w14:paraId="02797615">
      <w:pPr>
        <w:widowControl/>
        <w:shd w:val="clear"/>
        <w:spacing w:line="400" w:lineRule="exact"/>
        <w:ind w:firstLine="660" w:firstLineChars="300"/>
        <w:rPr>
          <w:rFonts w:ascii="宋体" w:hAnsi="宋体" w:cs="宋体"/>
          <w:color w:val="auto"/>
          <w:sz w:val="22"/>
          <w:highlight w:val="none"/>
        </w:rPr>
      </w:pPr>
      <w:bookmarkStart w:id="17" w:name="_Toc10026"/>
      <w:bookmarkStart w:id="18" w:name="_Toc15839"/>
      <w:r>
        <w:rPr>
          <w:rFonts w:hint="eastAsia" w:ascii="宋体" w:hAnsi="宋体" w:cs="宋体"/>
          <w:color w:val="auto"/>
          <w:sz w:val="22"/>
          <w:highlight w:val="none"/>
          <w:lang w:eastAsia="zh-CN"/>
        </w:rPr>
        <w:t>1.</w:t>
      </w:r>
      <w:bookmarkEnd w:id="17"/>
      <w:bookmarkEnd w:id="18"/>
      <w:bookmarkStart w:id="19" w:name="_Toc21951"/>
      <w:bookmarkStart w:id="20" w:name="_Toc29535"/>
      <w:r>
        <w:rPr>
          <w:rFonts w:hint="eastAsia" w:ascii="宋体" w:hAnsi="宋体" w:cs="宋体"/>
          <w:color w:val="auto"/>
          <w:sz w:val="22"/>
          <w:highlight w:val="none"/>
        </w:rPr>
        <w:t>开标时间：</w:t>
      </w:r>
      <w:r>
        <w:rPr>
          <w:rFonts w:ascii="宋体" w:hAnsi="宋体" w:cs="宋体"/>
          <w:color w:val="auto"/>
          <w:sz w:val="22"/>
          <w:highlight w:val="none"/>
        </w:rPr>
        <w:t>2026</w:t>
      </w:r>
      <w:r>
        <w:rPr>
          <w:rFonts w:hint="eastAsia" w:ascii="宋体" w:hAnsi="宋体" w:cs="宋体"/>
          <w:color w:val="auto"/>
          <w:sz w:val="22"/>
          <w:highlight w:val="none"/>
        </w:rPr>
        <w:t>年</w:t>
      </w:r>
      <w:r>
        <w:rPr>
          <w:rFonts w:hint="eastAsia" w:ascii="宋体" w:hAnsi="宋体" w:cs="宋体"/>
          <w:color w:val="auto"/>
          <w:sz w:val="22"/>
          <w:highlight w:val="none"/>
          <w:lang w:val="en-US" w:eastAsia="zh-CN"/>
        </w:rPr>
        <w:t>11</w:t>
      </w:r>
      <w:bookmarkStart w:id="340" w:name="_GoBack"/>
      <w:bookmarkEnd w:id="340"/>
      <w:r>
        <w:rPr>
          <w:rFonts w:hint="eastAsia" w:ascii="宋体" w:hAnsi="宋体" w:cs="宋体"/>
          <w:color w:val="auto"/>
          <w:sz w:val="22"/>
          <w:highlight w:val="none"/>
        </w:rPr>
        <w:t>月</w:t>
      </w:r>
      <w:r>
        <w:rPr>
          <w:rFonts w:hint="eastAsia" w:ascii="宋体" w:hAnsi="宋体" w:cs="宋体"/>
          <w:color w:val="auto"/>
          <w:sz w:val="22"/>
          <w:highlight w:val="none"/>
          <w:lang w:val="en-US" w:eastAsia="zh-CN"/>
        </w:rPr>
        <w:t>17</w:t>
      </w:r>
      <w:r>
        <w:rPr>
          <w:rFonts w:hint="eastAsia" w:ascii="宋体" w:hAnsi="宋体" w:cs="宋体"/>
          <w:color w:val="auto"/>
          <w:sz w:val="22"/>
          <w:highlight w:val="none"/>
          <w:lang w:eastAsia="zh-CN"/>
        </w:rPr>
        <w:t>日</w:t>
      </w:r>
      <w:r>
        <w:rPr>
          <w:rFonts w:hint="eastAsia" w:ascii="宋体" w:hAnsi="宋体" w:cs="宋体"/>
          <w:color w:val="auto"/>
          <w:sz w:val="22"/>
          <w:highlight w:val="none"/>
        </w:rPr>
        <w:t>10时00分</w:t>
      </w:r>
    </w:p>
    <w:p w14:paraId="60EC231E">
      <w:pPr>
        <w:shd w:val="clear"/>
        <w:spacing w:line="400" w:lineRule="exact"/>
        <w:ind w:firstLine="660" w:firstLineChars="300"/>
        <w:outlineLvl w:val="2"/>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开标地点：阜阳市同创投资咨询管理有限公司会议室 。</w:t>
      </w:r>
      <w:bookmarkEnd w:id="19"/>
      <w:bookmarkEnd w:id="20"/>
      <w:bookmarkStart w:id="21" w:name="_Toc246996906"/>
      <w:bookmarkStart w:id="22" w:name="_Toc157499355"/>
      <w:bookmarkStart w:id="23" w:name="_Toc246996163"/>
      <w:bookmarkStart w:id="24" w:name="_Toc296602407"/>
      <w:bookmarkStart w:id="25" w:name="_Toc179632533"/>
      <w:bookmarkStart w:id="26" w:name="_Toc247085677"/>
    </w:p>
    <w:bookmarkEnd w:id="21"/>
    <w:bookmarkEnd w:id="22"/>
    <w:bookmarkEnd w:id="23"/>
    <w:bookmarkEnd w:id="24"/>
    <w:bookmarkEnd w:id="25"/>
    <w:bookmarkEnd w:id="26"/>
    <w:p w14:paraId="1A532659">
      <w:pPr>
        <w:shd w:val="clear"/>
        <w:spacing w:line="400" w:lineRule="exact"/>
        <w:outlineLvl w:val="1"/>
        <w:rPr>
          <w:rFonts w:ascii="宋体" w:hAnsi="宋体" w:cs="宋体"/>
          <w:color w:val="auto"/>
          <w:sz w:val="22"/>
          <w:highlight w:val="none"/>
        </w:rPr>
      </w:pPr>
      <w:bookmarkStart w:id="27" w:name="_Toc355604670"/>
      <w:r>
        <w:rPr>
          <w:rFonts w:hint="eastAsia" w:ascii="宋体" w:hAnsi="宋体" w:cs="宋体"/>
          <w:color w:val="auto"/>
          <w:sz w:val="22"/>
          <w:highlight w:val="none"/>
        </w:rPr>
        <w:t xml:space="preserve">   </w:t>
      </w:r>
      <w:bookmarkEnd w:id="27"/>
      <w:r>
        <w:rPr>
          <w:rFonts w:hint="eastAsia" w:ascii="宋体" w:hAnsi="宋体" w:cs="宋体"/>
          <w:color w:val="auto"/>
          <w:sz w:val="22"/>
          <w:highlight w:val="none"/>
        </w:rPr>
        <w:t>五、投标文件递交时间、截止时间及地点</w:t>
      </w:r>
    </w:p>
    <w:p w14:paraId="70ACEF10">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1.</w:t>
      </w:r>
      <w:r>
        <w:rPr>
          <w:rFonts w:hint="eastAsia" w:ascii="宋体" w:hAnsi="宋体" w:cs="宋体"/>
          <w:color w:val="auto"/>
          <w:sz w:val="22"/>
          <w:highlight w:val="none"/>
        </w:rPr>
        <w:t>投标文件递交时间</w:t>
      </w:r>
      <w:r>
        <w:rPr>
          <w:rFonts w:hint="eastAsia" w:ascii="宋体" w:hAnsi="宋体" w:cs="宋体"/>
          <w:color w:val="auto"/>
          <w:sz w:val="22"/>
          <w:highlight w:val="none"/>
          <w:lang w:eastAsia="zh-CN"/>
        </w:rPr>
        <w:t>：</w:t>
      </w:r>
      <w:r>
        <w:rPr>
          <w:rFonts w:hint="eastAsia" w:ascii="宋体" w:hAnsi="宋体" w:cs="宋体"/>
          <w:color w:val="auto"/>
          <w:sz w:val="22"/>
          <w:highlight w:val="none"/>
        </w:rPr>
        <w:t>投标截止时间前 2小时内。</w:t>
      </w:r>
    </w:p>
    <w:p w14:paraId="12D22FD9">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2.</w:t>
      </w:r>
      <w:r>
        <w:rPr>
          <w:rFonts w:hint="eastAsia" w:ascii="宋体" w:hAnsi="宋体" w:cs="宋体"/>
          <w:color w:val="auto"/>
          <w:sz w:val="22"/>
          <w:highlight w:val="none"/>
        </w:rPr>
        <w:t>投标文件递交的截止时间同开标时间。</w:t>
      </w:r>
    </w:p>
    <w:p w14:paraId="1D5B8DEF">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lang w:eastAsia="zh-CN"/>
        </w:rPr>
        <w:t>3.</w:t>
      </w:r>
      <w:r>
        <w:rPr>
          <w:rFonts w:hint="eastAsia" w:ascii="宋体" w:hAnsi="宋体" w:cs="宋体"/>
          <w:color w:val="auto"/>
          <w:sz w:val="22"/>
          <w:highlight w:val="none"/>
        </w:rPr>
        <w:t>投标文件递交地点：招标人指定电子邮箱（详见其他补充事宜）。</w:t>
      </w:r>
    </w:p>
    <w:p w14:paraId="53A9E0B0">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lang w:eastAsia="zh-CN"/>
        </w:rPr>
        <w:t>4.</w:t>
      </w:r>
      <w:r>
        <w:rPr>
          <w:rFonts w:hint="eastAsia" w:ascii="宋体" w:hAnsi="宋体" w:cs="宋体"/>
          <w:color w:val="auto"/>
          <w:sz w:val="22"/>
          <w:highlight w:val="none"/>
        </w:rPr>
        <w:t>逾期送达的或者未送达指定地点的投标文件，招标人拒绝接收。</w:t>
      </w:r>
    </w:p>
    <w:p w14:paraId="0637A3BB">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rPr>
        <w:t>六、联系方法</w:t>
      </w:r>
    </w:p>
    <w:p w14:paraId="2A42A4A8">
      <w:pPr>
        <w:shd w:val="clear"/>
        <w:spacing w:line="400" w:lineRule="exact"/>
        <w:ind w:firstLine="440" w:firstLineChars="200"/>
        <w:rPr>
          <w:rFonts w:hint="eastAsia" w:ascii="宋体" w:hAnsi="宋体" w:eastAsia="宋体" w:cs="宋体"/>
          <w:color w:val="auto"/>
          <w:sz w:val="22"/>
          <w:highlight w:val="none"/>
          <w:lang w:eastAsia="zh-CN"/>
        </w:rPr>
      </w:pPr>
      <w:r>
        <w:rPr>
          <w:rFonts w:hint="eastAsia" w:ascii="宋体" w:hAnsi="宋体" w:cs="宋体"/>
          <w:color w:val="auto"/>
          <w:sz w:val="22"/>
          <w:highlight w:val="none"/>
        </w:rPr>
        <w:t>（一）项目单位：</w:t>
      </w:r>
      <w:r>
        <w:rPr>
          <w:rFonts w:hint="eastAsia" w:ascii="宋体" w:hAnsi="宋体" w:cs="宋体"/>
          <w:color w:val="auto"/>
          <w:sz w:val="22"/>
          <w:highlight w:val="none"/>
          <w:lang w:eastAsia="zh-CN"/>
        </w:rPr>
        <w:t>阜阳市投资发展集团有限公司</w:t>
      </w:r>
    </w:p>
    <w:p w14:paraId="2E76E19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联系人：</w:t>
      </w:r>
      <w:r>
        <w:rPr>
          <w:rFonts w:hint="eastAsia" w:ascii="宋体" w:hAnsi="宋体" w:cs="宋体"/>
          <w:color w:val="auto"/>
          <w:sz w:val="22"/>
          <w:highlight w:val="none"/>
          <w:lang w:eastAsia="zh-CN"/>
        </w:rPr>
        <w:t>李工</w:t>
      </w:r>
      <w:r>
        <w:rPr>
          <w:rFonts w:hint="eastAsia" w:ascii="宋体" w:hAnsi="宋体" w:cs="宋体"/>
          <w:color w:val="auto"/>
          <w:sz w:val="22"/>
          <w:highlight w:val="none"/>
        </w:rPr>
        <w:t xml:space="preserve"> </w:t>
      </w:r>
    </w:p>
    <w:p w14:paraId="071D895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电话：0558-</w:t>
      </w:r>
      <w:r>
        <w:rPr>
          <w:rFonts w:hint="eastAsia" w:ascii="宋体" w:hAnsi="宋体" w:cs="宋体"/>
          <w:color w:val="auto"/>
          <w:sz w:val="22"/>
          <w:highlight w:val="none"/>
          <w:lang w:eastAsia="zh-CN"/>
        </w:rPr>
        <w:t xml:space="preserve">2552009 </w:t>
      </w:r>
      <w:r>
        <w:rPr>
          <w:rFonts w:hint="eastAsia" w:ascii="宋体" w:hAnsi="宋体" w:cs="宋体"/>
          <w:color w:val="auto"/>
          <w:sz w:val="22"/>
          <w:highlight w:val="none"/>
        </w:rPr>
        <w:t xml:space="preserve"> </w:t>
      </w:r>
    </w:p>
    <w:p w14:paraId="1B46EEF1">
      <w:pPr>
        <w:shd w:val="clear"/>
        <w:spacing w:line="400" w:lineRule="exact"/>
        <w:ind w:firstLine="440" w:firstLineChars="200"/>
        <w:rPr>
          <w:rFonts w:ascii="宋体" w:hAnsi="宋体" w:cs="宋体"/>
          <w:color w:val="auto"/>
          <w:sz w:val="22"/>
          <w:highlight w:val="none"/>
        </w:rPr>
      </w:pPr>
      <w:r>
        <w:rPr>
          <w:rFonts w:hint="eastAsia" w:ascii="宋体" w:hAnsi="宋体" w:cs="宋体"/>
          <w:color w:val="auto"/>
          <w:sz w:val="22"/>
          <w:highlight w:val="none"/>
        </w:rPr>
        <w:t>（二）招标代理机构：阜阳市同创投资咨询管理有限公司</w:t>
      </w:r>
    </w:p>
    <w:p w14:paraId="083C9471">
      <w:pPr>
        <w:shd w:val="clear"/>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地址：阜阳市城南新区三清路阜阳市民中心三楼西北角6号厅              </w:t>
      </w:r>
    </w:p>
    <w:p w14:paraId="0CE3396C">
      <w:pPr>
        <w:shd w:val="clear"/>
        <w:tabs>
          <w:tab w:val="left" w:pos="4858"/>
        </w:tabs>
        <w:topLinePunct/>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联 系 人：</w:t>
      </w:r>
      <w:r>
        <w:rPr>
          <w:rFonts w:hint="eastAsia" w:ascii="宋体" w:hAnsi="宋体" w:cs="宋体"/>
          <w:color w:val="auto"/>
          <w:sz w:val="22"/>
          <w:highlight w:val="none"/>
          <w:lang w:eastAsia="zh-CN"/>
        </w:rPr>
        <w:t>乔工</w:t>
      </w:r>
      <w:r>
        <w:rPr>
          <w:rFonts w:hint="eastAsia" w:ascii="宋体" w:hAnsi="宋体" w:cs="宋体"/>
          <w:color w:val="auto"/>
          <w:sz w:val="22"/>
          <w:highlight w:val="none"/>
        </w:rPr>
        <w:t xml:space="preserve">  </w:t>
      </w:r>
    </w:p>
    <w:p w14:paraId="0F9F2F70">
      <w:pPr>
        <w:shd w:val="clear"/>
        <w:topLinePunct/>
        <w:spacing w:line="400" w:lineRule="exact"/>
        <w:ind w:firstLine="660" w:firstLineChars="300"/>
        <w:rPr>
          <w:rFonts w:ascii="宋体" w:hAnsi="宋体" w:cs="宋体"/>
          <w:color w:val="auto"/>
          <w:sz w:val="22"/>
          <w:highlight w:val="none"/>
        </w:rPr>
      </w:pPr>
      <w:r>
        <w:rPr>
          <w:rFonts w:hint="eastAsia" w:ascii="宋体" w:hAnsi="宋体" w:cs="宋体"/>
          <w:color w:val="auto"/>
          <w:sz w:val="22"/>
          <w:highlight w:val="none"/>
        </w:rPr>
        <w:t xml:space="preserve">电    话： 0558-2166193（备用电话0558-2166016）    </w:t>
      </w:r>
    </w:p>
    <w:bookmarkEnd w:id="8"/>
    <w:bookmarkEnd w:id="9"/>
    <w:p w14:paraId="3D393841">
      <w:pPr>
        <w:shd w:val="clear"/>
        <w:spacing w:after="120" w:line="400" w:lineRule="exact"/>
        <w:ind w:firstLine="480" w:firstLineChars="200"/>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七、其他补充事宜</w:t>
      </w:r>
    </w:p>
    <w:p w14:paraId="3E5322A2">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本项目采用电子邮箱接收投标文件，不再进行现场递交，具体办法如下：</w:t>
      </w:r>
    </w:p>
    <w:p w14:paraId="567DFCB7">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（1）电子邮箱地址的获取方式：</w:t>
      </w:r>
    </w:p>
    <w:p w14:paraId="2955254C">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投标截止时间前两小时内，代理机构工作人员在招标人、现场监督员（如有）共同见证下现场申请临时电子邮箱地址，并将电子邮箱地址及时发布在</w:t>
      </w:r>
      <w:r>
        <w:rPr>
          <w:rFonts w:hint="eastAsia" w:ascii="宋体" w:hAnsi="宋体" w:cs="宋体"/>
          <w:color w:val="auto"/>
          <w:sz w:val="22"/>
          <w:highlight w:val="none"/>
          <w:lang w:eastAsia="zh-CN"/>
        </w:rPr>
        <w:t>阜阳市投资发展集团有限公司</w:t>
      </w:r>
      <w:r>
        <w:rPr>
          <w:rFonts w:hint="eastAsia" w:ascii="宋体" w:hAnsi="宋体" w:cs="宋体"/>
          <w:color w:val="auto"/>
          <w:sz w:val="22"/>
          <w:highlight w:val="none"/>
        </w:rPr>
        <w:t>网站http://www.fytfjt.com/中。各潜在投标人应在投标截止时间前两小时内随时关注该项目的更正公告、答疑或澄清，及时获取电子邮箱地址。</w:t>
      </w:r>
    </w:p>
    <w:p w14:paraId="27E0537E">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（2）电子版投标文件的递交方式：</w:t>
      </w:r>
    </w:p>
    <w:p w14:paraId="7F79E5CB">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各潜在投标人应提前将该项目签字盖章齐全的纸质版投标文件进行扫描后转化为电子版PDF格式，以上内容压缩为一个压缩包上传至邮箱，压缩包和邮件名称均须设置成：投标人名称+项目名称+授权人姓名+授权人手机号码，且邮件内容与邮件名称相统一，如因投标人邮件名称标识错误或邮件内容混传，责任自负。</w:t>
      </w:r>
    </w:p>
    <w:p w14:paraId="1BDAC6D9">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75E7BCFC">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（3）电子版投标文件询标方式：</w:t>
      </w:r>
    </w:p>
    <w:p w14:paraId="13D69245">
      <w:pPr>
        <w:shd w:val="clear"/>
        <w:spacing w:after="120" w:line="400" w:lineRule="exact"/>
        <w:ind w:left="420" w:leftChars="200" w:firstLine="440" w:firstLineChars="200"/>
        <w:rPr>
          <w:rFonts w:ascii="宋体" w:hAnsi="宋体" w:cs="宋体"/>
          <w:color w:val="auto"/>
          <w:sz w:val="22"/>
          <w:highlight w:val="none"/>
        </w:rPr>
      </w:pPr>
      <w:r>
        <w:rPr>
          <w:rFonts w:hint="eastAsia" w:ascii="宋体" w:hAnsi="宋体" w:cs="宋体"/>
          <w:color w:val="auto"/>
          <w:sz w:val="22"/>
          <w:highlight w:val="none"/>
        </w:rPr>
        <w:t>评标委员会依据招标文件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w:t>
      </w:r>
    </w:p>
    <w:p w14:paraId="5C9F5FFB">
      <w:pPr>
        <w:shd w:val="clear"/>
        <w:spacing w:line="400" w:lineRule="exact"/>
        <w:rPr>
          <w:rFonts w:ascii="宋体" w:hAnsi="宋体" w:cs="宋体"/>
          <w:color w:val="auto"/>
          <w:sz w:val="22"/>
          <w:highlight w:val="none"/>
        </w:rPr>
      </w:pPr>
    </w:p>
    <w:p w14:paraId="5721193A">
      <w:pPr>
        <w:shd w:val="clear"/>
        <w:spacing w:line="400" w:lineRule="exact"/>
        <w:jc w:val="right"/>
        <w:rPr>
          <w:rFonts w:ascii="宋体" w:hAnsi="宋体" w:cs="宋体"/>
          <w:color w:val="auto"/>
          <w:sz w:val="22"/>
          <w:highlight w:val="none"/>
        </w:rPr>
      </w:pPr>
    </w:p>
    <w:bookmarkEnd w:id="10"/>
    <w:p w14:paraId="0055FFC5">
      <w:pPr>
        <w:shd w:val="clear"/>
        <w:spacing w:line="360" w:lineRule="auto"/>
        <w:ind w:firstLine="2891" w:firstLineChars="900"/>
        <w:jc w:val="both"/>
        <w:outlineLvl w:val="0"/>
        <w:rPr>
          <w:rStyle w:val="18"/>
          <w:rFonts w:ascii="宋体" w:hAnsi="宋体" w:cs="宋体"/>
          <w:color w:val="auto"/>
          <w:highlight w:val="none"/>
        </w:rPr>
      </w:pPr>
      <w:bookmarkStart w:id="28" w:name="_Toc368985788"/>
      <w:bookmarkStart w:id="29" w:name="_Toc10813"/>
      <w:bookmarkStart w:id="30" w:name="_Toc535314223"/>
      <w:bookmarkStart w:id="31" w:name="_Toc8328"/>
      <w:bookmarkStart w:id="32" w:name="_Toc23477"/>
      <w:r>
        <w:rPr>
          <w:rStyle w:val="18"/>
          <w:rFonts w:hint="eastAsia" w:ascii="宋体" w:hAnsi="宋体" w:cs="宋体"/>
          <w:color w:val="auto"/>
          <w:sz w:val="32"/>
          <w:szCs w:val="32"/>
          <w:highlight w:val="none"/>
        </w:rPr>
        <w:t>第二章 投标人须知</w:t>
      </w:r>
      <w:bookmarkEnd w:id="28"/>
      <w:bookmarkEnd w:id="29"/>
      <w:bookmarkEnd w:id="30"/>
      <w:bookmarkEnd w:id="31"/>
      <w:bookmarkEnd w:id="32"/>
    </w:p>
    <w:p w14:paraId="645E9E9A">
      <w:pPr>
        <w:shd w:val="clear"/>
        <w:spacing w:line="360" w:lineRule="auto"/>
        <w:jc w:val="center"/>
        <w:outlineLvl w:val="1"/>
        <w:rPr>
          <w:rFonts w:ascii="宋体" w:hAnsi="宋体" w:cs="宋体"/>
          <w:b/>
          <w:bCs/>
          <w:color w:val="auto"/>
          <w:sz w:val="28"/>
          <w:szCs w:val="28"/>
          <w:highlight w:val="none"/>
        </w:rPr>
      </w:pPr>
      <w:bookmarkStart w:id="33" w:name="_Toc487461248"/>
      <w:bookmarkStart w:id="34" w:name="_Toc28026"/>
      <w:bookmarkStart w:id="35" w:name="_Toc493081564"/>
      <w:bookmarkStart w:id="36" w:name="_Toc13553"/>
      <w:bookmarkStart w:id="37" w:name="_Toc487641629"/>
      <w:bookmarkStart w:id="38" w:name="_Toc152045529"/>
      <w:bookmarkStart w:id="39" w:name="_Toc144974497"/>
      <w:bookmarkStart w:id="40" w:name="_Toc17457"/>
      <w:bookmarkStart w:id="41" w:name="_Toc152042305"/>
      <w:bookmarkStart w:id="42" w:name="_Toc179632546"/>
      <w:bookmarkStart w:id="43" w:name="_Toc29425"/>
      <w:bookmarkStart w:id="44" w:name="_Toc2961"/>
      <w:r>
        <w:rPr>
          <w:rFonts w:hint="eastAsia" w:ascii="宋体" w:hAnsi="宋体" w:cs="宋体"/>
          <w:b/>
          <w:bCs/>
          <w:color w:val="auto"/>
          <w:sz w:val="28"/>
          <w:szCs w:val="28"/>
          <w:highlight w:val="none"/>
        </w:rPr>
        <w:t>投标人须知前附表</w:t>
      </w:r>
      <w:bookmarkEnd w:id="33"/>
      <w:bookmarkEnd w:id="34"/>
      <w:bookmarkEnd w:id="35"/>
      <w:bookmarkEnd w:id="36"/>
      <w:bookmarkEnd w:id="37"/>
    </w:p>
    <w:tbl>
      <w:tblPr>
        <w:tblStyle w:val="14"/>
        <w:tblW w:w="100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84"/>
        <w:gridCol w:w="6780"/>
      </w:tblGrid>
      <w:tr w14:paraId="23C0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3" w:type="dxa"/>
            <w:vAlign w:val="center"/>
          </w:tcPr>
          <w:p w14:paraId="6AE1BFD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条款号</w:t>
            </w:r>
          </w:p>
        </w:tc>
        <w:tc>
          <w:tcPr>
            <w:tcW w:w="2284" w:type="dxa"/>
            <w:vAlign w:val="center"/>
          </w:tcPr>
          <w:p w14:paraId="2E80F032">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条  款  名  称</w:t>
            </w:r>
          </w:p>
        </w:tc>
        <w:tc>
          <w:tcPr>
            <w:tcW w:w="6780" w:type="dxa"/>
            <w:vAlign w:val="center"/>
          </w:tcPr>
          <w:p w14:paraId="5F39EA96">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编  列  内  容</w:t>
            </w:r>
          </w:p>
        </w:tc>
      </w:tr>
      <w:tr w14:paraId="7A16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993" w:type="dxa"/>
            <w:vAlign w:val="center"/>
          </w:tcPr>
          <w:p w14:paraId="4A6B1F7D">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1.1.1</w:t>
            </w:r>
          </w:p>
        </w:tc>
        <w:tc>
          <w:tcPr>
            <w:tcW w:w="2284" w:type="dxa"/>
            <w:vAlign w:val="center"/>
          </w:tcPr>
          <w:p w14:paraId="6B65498A">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招标人</w:t>
            </w:r>
          </w:p>
        </w:tc>
        <w:tc>
          <w:tcPr>
            <w:tcW w:w="6780" w:type="dxa"/>
            <w:vAlign w:val="center"/>
          </w:tcPr>
          <w:p w14:paraId="08AABCD4">
            <w:pPr>
              <w:shd w:val="clear"/>
              <w:spacing w:line="360" w:lineRule="auto"/>
              <w:jc w:val="left"/>
              <w:rPr>
                <w:rFonts w:ascii="宋体" w:hAnsi="宋体" w:eastAsia="宋体" w:cs="宋体"/>
                <w:color w:val="auto"/>
                <w:highlight w:val="none"/>
                <w:u w:val="single"/>
              </w:rPr>
            </w:pPr>
            <w:r>
              <w:rPr>
                <w:rFonts w:hint="eastAsia" w:ascii="宋体" w:hAnsi="宋体" w:eastAsia="宋体" w:cs="宋体"/>
                <w:color w:val="auto"/>
                <w:highlight w:val="none"/>
              </w:rPr>
              <w:t>名    称：</w:t>
            </w:r>
            <w:r>
              <w:rPr>
                <w:rFonts w:hint="eastAsia" w:ascii="宋体" w:hAnsi="宋体" w:eastAsia="宋体" w:cs="宋体"/>
                <w:color w:val="auto"/>
                <w:kern w:val="0"/>
                <w:highlight w:val="none"/>
                <w:lang w:eastAsia="zh-CN"/>
              </w:rPr>
              <w:t>阜阳市投资发展集团有限公司</w:t>
            </w:r>
            <w:r>
              <w:rPr>
                <w:rFonts w:hint="eastAsia" w:ascii="宋体" w:hAnsi="宋体" w:eastAsia="宋体" w:cs="宋体"/>
                <w:color w:val="auto"/>
                <w:highlight w:val="none"/>
              </w:rPr>
              <w:t xml:space="preserve"> </w:t>
            </w:r>
          </w:p>
          <w:p w14:paraId="2824842D">
            <w:pPr>
              <w:shd w:val="clea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联 系 人：</w:t>
            </w:r>
            <w:r>
              <w:rPr>
                <w:rFonts w:hint="eastAsia" w:ascii="宋体" w:hAnsi="宋体" w:eastAsia="宋体" w:cs="宋体"/>
                <w:color w:val="auto"/>
                <w:kern w:val="0"/>
                <w:highlight w:val="none"/>
                <w:lang w:eastAsia="zh-CN"/>
              </w:rPr>
              <w:t>李工</w:t>
            </w:r>
          </w:p>
          <w:p w14:paraId="16AE4FF2">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电    话：0558-</w:t>
            </w:r>
            <w:r>
              <w:rPr>
                <w:rFonts w:hint="eastAsia" w:cs="宋体" w:asciiTheme="minorEastAsia" w:hAnsiTheme="minorEastAsia" w:eastAsiaTheme="minorEastAsia"/>
              </w:rPr>
              <w:t xml:space="preserve">2552009 </w:t>
            </w:r>
            <w:r>
              <w:rPr>
                <w:rFonts w:hint="eastAsia" w:ascii="宋体" w:hAnsi="宋体" w:eastAsia="宋体" w:cs="宋体"/>
                <w:color w:val="auto"/>
                <w:highlight w:val="none"/>
              </w:rPr>
              <w:t xml:space="preserve">  </w:t>
            </w:r>
          </w:p>
        </w:tc>
      </w:tr>
      <w:tr w14:paraId="5174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993" w:type="dxa"/>
            <w:vAlign w:val="center"/>
          </w:tcPr>
          <w:p w14:paraId="59FF445E">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1.1.2</w:t>
            </w:r>
          </w:p>
        </w:tc>
        <w:tc>
          <w:tcPr>
            <w:tcW w:w="2284" w:type="dxa"/>
            <w:vAlign w:val="center"/>
          </w:tcPr>
          <w:p w14:paraId="5CADBED2">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招标代理机构</w:t>
            </w:r>
          </w:p>
        </w:tc>
        <w:tc>
          <w:tcPr>
            <w:tcW w:w="6780" w:type="dxa"/>
            <w:vAlign w:val="center"/>
          </w:tcPr>
          <w:p w14:paraId="4A4C1023">
            <w:pPr>
              <w:shd w:val="clear"/>
              <w:spacing w:line="360" w:lineRule="auto"/>
              <w:rPr>
                <w:rFonts w:ascii="宋体" w:hAnsi="宋体" w:eastAsia="宋体" w:cs="宋体"/>
                <w:color w:val="auto"/>
                <w:kern w:val="0"/>
                <w:highlight w:val="none"/>
              </w:rPr>
            </w:pPr>
            <w:r>
              <w:rPr>
                <w:rFonts w:hint="eastAsia" w:ascii="宋体" w:hAnsi="宋体" w:eastAsia="宋体" w:cs="宋体"/>
                <w:color w:val="auto"/>
                <w:kern w:val="0"/>
                <w:highlight w:val="none"/>
              </w:rPr>
              <w:t xml:space="preserve">招标代理机构：阜阳市同创投资咨询管理有限公司 </w:t>
            </w:r>
          </w:p>
          <w:p w14:paraId="7BCD4C08">
            <w:pPr>
              <w:shd w:val="clear"/>
              <w:spacing w:line="360" w:lineRule="auto"/>
              <w:rPr>
                <w:rFonts w:ascii="宋体" w:hAnsi="宋体" w:eastAsia="宋体" w:cs="宋体"/>
                <w:color w:val="auto"/>
                <w:kern w:val="0"/>
                <w:highlight w:val="none"/>
              </w:rPr>
            </w:pPr>
            <w:r>
              <w:rPr>
                <w:rFonts w:hint="eastAsia" w:ascii="宋体" w:hAnsi="宋体" w:eastAsia="宋体" w:cs="宋体"/>
                <w:color w:val="auto"/>
                <w:kern w:val="0"/>
                <w:highlight w:val="none"/>
              </w:rPr>
              <w:t>联 系 人：</w:t>
            </w:r>
            <w:r>
              <w:rPr>
                <w:rFonts w:hint="eastAsia" w:ascii="宋体" w:hAnsi="宋体" w:eastAsia="宋体" w:cs="宋体"/>
                <w:color w:val="auto"/>
                <w:kern w:val="0"/>
                <w:highlight w:val="none"/>
                <w:lang w:eastAsia="zh-CN"/>
              </w:rPr>
              <w:t>乔工</w:t>
            </w:r>
            <w:r>
              <w:rPr>
                <w:rFonts w:hint="eastAsia" w:ascii="宋体" w:hAnsi="宋体" w:eastAsia="宋体" w:cs="宋体"/>
                <w:color w:val="auto"/>
                <w:kern w:val="0"/>
                <w:highlight w:val="none"/>
              </w:rPr>
              <w:t xml:space="preserve">   </w:t>
            </w:r>
          </w:p>
          <w:p w14:paraId="3B4EC980">
            <w:pPr>
              <w:shd w:val="clear"/>
              <w:spacing w:line="360" w:lineRule="auto"/>
              <w:rPr>
                <w:rFonts w:ascii="宋体" w:hAnsi="宋体" w:eastAsia="宋体" w:cs="宋体"/>
                <w:color w:val="auto"/>
                <w:highlight w:val="none"/>
              </w:rPr>
            </w:pPr>
            <w:r>
              <w:rPr>
                <w:rFonts w:hint="eastAsia" w:ascii="宋体" w:hAnsi="宋体" w:eastAsia="宋体" w:cs="宋体"/>
                <w:color w:val="auto"/>
                <w:kern w:val="0"/>
                <w:highlight w:val="none"/>
              </w:rPr>
              <w:t>电    话：</w:t>
            </w:r>
            <w:r>
              <w:rPr>
                <w:rFonts w:hint="eastAsia" w:ascii="宋体" w:hAnsi="宋体" w:cs="宋体"/>
                <w:color w:val="auto"/>
                <w:sz w:val="22"/>
                <w:highlight w:val="none"/>
              </w:rPr>
              <w:t>0558-2166193（备用电话0558-2166016）</w:t>
            </w:r>
            <w:r>
              <w:rPr>
                <w:rFonts w:hint="eastAsia" w:ascii="宋体" w:hAnsi="宋体" w:eastAsia="宋体" w:cs="宋体"/>
                <w:color w:val="auto"/>
                <w:kern w:val="0"/>
                <w:highlight w:val="none"/>
              </w:rPr>
              <w:t xml:space="preserve"> </w:t>
            </w:r>
          </w:p>
        </w:tc>
      </w:tr>
      <w:tr w14:paraId="63A6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trPr>
        <w:tc>
          <w:tcPr>
            <w:tcW w:w="993" w:type="dxa"/>
            <w:vAlign w:val="center"/>
          </w:tcPr>
          <w:p w14:paraId="04AFB49A">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1.1.3</w:t>
            </w:r>
          </w:p>
        </w:tc>
        <w:tc>
          <w:tcPr>
            <w:tcW w:w="2284" w:type="dxa"/>
            <w:vAlign w:val="center"/>
          </w:tcPr>
          <w:p w14:paraId="62C75D74">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项目名称</w:t>
            </w:r>
          </w:p>
        </w:tc>
        <w:tc>
          <w:tcPr>
            <w:tcW w:w="6780" w:type="dxa"/>
            <w:vAlign w:val="center"/>
          </w:tcPr>
          <w:p w14:paraId="7F7CA481">
            <w:pPr>
              <w:shd w:val="clea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kern w:val="0"/>
                <w:highlight w:val="none"/>
                <w:lang w:eastAsia="zh-CN"/>
              </w:rPr>
              <w:t>阜阳市投资发展集团有限公司造价咨询服务机构库项目</w:t>
            </w:r>
          </w:p>
        </w:tc>
      </w:tr>
      <w:tr w14:paraId="0E7E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993" w:type="dxa"/>
            <w:vAlign w:val="center"/>
          </w:tcPr>
          <w:p w14:paraId="0793D716">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1.1.4</w:t>
            </w:r>
          </w:p>
        </w:tc>
        <w:tc>
          <w:tcPr>
            <w:tcW w:w="2284" w:type="dxa"/>
            <w:vAlign w:val="center"/>
          </w:tcPr>
          <w:p w14:paraId="0C436E37">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服务地点</w:t>
            </w:r>
          </w:p>
        </w:tc>
        <w:tc>
          <w:tcPr>
            <w:tcW w:w="6780" w:type="dxa"/>
            <w:vAlign w:val="center"/>
          </w:tcPr>
          <w:p w14:paraId="57463D72">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阜阳市</w:t>
            </w:r>
          </w:p>
          <w:p w14:paraId="6B9D3047">
            <w:pPr>
              <w:shd w:val="clear"/>
              <w:spacing w:after="120" w:line="360" w:lineRule="auto"/>
              <w:ind w:left="420" w:leftChars="200" w:firstLine="420" w:firstLineChars="200"/>
              <w:rPr>
                <w:rFonts w:ascii="宋体" w:hAnsi="宋体" w:eastAsia="宋体" w:cs="宋体"/>
                <w:color w:val="auto"/>
                <w:highlight w:val="none"/>
              </w:rPr>
            </w:pPr>
          </w:p>
        </w:tc>
      </w:tr>
      <w:tr w14:paraId="39C6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3" w:type="dxa"/>
            <w:vAlign w:val="center"/>
          </w:tcPr>
          <w:p w14:paraId="5A5D5E6B">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1.2.1</w:t>
            </w:r>
          </w:p>
        </w:tc>
        <w:tc>
          <w:tcPr>
            <w:tcW w:w="2284" w:type="dxa"/>
            <w:vAlign w:val="center"/>
          </w:tcPr>
          <w:p w14:paraId="3B9FDCE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资金来源</w:t>
            </w:r>
          </w:p>
        </w:tc>
        <w:tc>
          <w:tcPr>
            <w:tcW w:w="6780" w:type="dxa"/>
            <w:vAlign w:val="center"/>
          </w:tcPr>
          <w:p w14:paraId="63C5C0A5">
            <w:pPr>
              <w:shd w:val="clea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自筹资金</w:t>
            </w:r>
          </w:p>
        </w:tc>
      </w:tr>
      <w:tr w14:paraId="4C31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93" w:type="dxa"/>
            <w:vAlign w:val="center"/>
          </w:tcPr>
          <w:p w14:paraId="15D44153">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1.2.2</w:t>
            </w:r>
          </w:p>
        </w:tc>
        <w:tc>
          <w:tcPr>
            <w:tcW w:w="2284" w:type="dxa"/>
            <w:vAlign w:val="center"/>
          </w:tcPr>
          <w:p w14:paraId="15941D2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出资比例</w:t>
            </w:r>
          </w:p>
        </w:tc>
        <w:tc>
          <w:tcPr>
            <w:tcW w:w="6780" w:type="dxa"/>
            <w:vAlign w:val="center"/>
          </w:tcPr>
          <w:p w14:paraId="671247B0">
            <w:pPr>
              <w:shd w:val="clea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 xml:space="preserve">100% </w:t>
            </w:r>
          </w:p>
        </w:tc>
      </w:tr>
      <w:tr w14:paraId="0E55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trPr>
        <w:tc>
          <w:tcPr>
            <w:tcW w:w="993" w:type="dxa"/>
            <w:vAlign w:val="center"/>
          </w:tcPr>
          <w:p w14:paraId="2CA3F80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1.2.3</w:t>
            </w:r>
          </w:p>
        </w:tc>
        <w:tc>
          <w:tcPr>
            <w:tcW w:w="2284" w:type="dxa"/>
            <w:vAlign w:val="center"/>
          </w:tcPr>
          <w:p w14:paraId="530D66D1">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资金落实情况</w:t>
            </w:r>
          </w:p>
        </w:tc>
        <w:tc>
          <w:tcPr>
            <w:tcW w:w="6780" w:type="dxa"/>
            <w:vAlign w:val="center"/>
          </w:tcPr>
          <w:p w14:paraId="44A132C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已落实</w:t>
            </w:r>
          </w:p>
        </w:tc>
      </w:tr>
      <w:tr w14:paraId="2854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93" w:type="dxa"/>
            <w:vAlign w:val="center"/>
          </w:tcPr>
          <w:p w14:paraId="58158D69">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1.3.1</w:t>
            </w:r>
          </w:p>
        </w:tc>
        <w:tc>
          <w:tcPr>
            <w:tcW w:w="2284" w:type="dxa"/>
            <w:vAlign w:val="center"/>
          </w:tcPr>
          <w:p w14:paraId="46F7480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招标范围</w:t>
            </w:r>
          </w:p>
        </w:tc>
        <w:tc>
          <w:tcPr>
            <w:tcW w:w="6780" w:type="dxa"/>
          </w:tcPr>
          <w:p w14:paraId="05010B44">
            <w:pPr>
              <w:shd w:val="clear"/>
              <w:spacing w:after="120" w:line="360" w:lineRule="auto"/>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0E44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34FE264">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1.3.2</w:t>
            </w:r>
          </w:p>
        </w:tc>
        <w:tc>
          <w:tcPr>
            <w:tcW w:w="2284" w:type="dxa"/>
            <w:vAlign w:val="center"/>
          </w:tcPr>
          <w:p w14:paraId="2E437791">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服务期限</w:t>
            </w:r>
          </w:p>
        </w:tc>
        <w:tc>
          <w:tcPr>
            <w:tcW w:w="6780" w:type="dxa"/>
            <w:vAlign w:val="center"/>
          </w:tcPr>
          <w:p w14:paraId="16855DAA">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032E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624108CF">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1.3.3</w:t>
            </w:r>
          </w:p>
        </w:tc>
        <w:tc>
          <w:tcPr>
            <w:tcW w:w="2284" w:type="dxa"/>
            <w:vAlign w:val="center"/>
          </w:tcPr>
          <w:p w14:paraId="5670A8B6">
            <w:pPr>
              <w:shd w:val="clea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服务要求</w:t>
            </w:r>
          </w:p>
        </w:tc>
        <w:tc>
          <w:tcPr>
            <w:tcW w:w="6780" w:type="dxa"/>
            <w:vAlign w:val="center"/>
          </w:tcPr>
          <w:p w14:paraId="79004805">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lang w:eastAsia="zh-CN"/>
              </w:rPr>
              <w:t>严格执行《建设项目工程结算编审规程》CECA/GC3-2010，《建设工程造价咨询成果文件质量标准》CECA/GC7-2012__及采购人和相关部门要求</w:t>
            </w:r>
            <w:r>
              <w:rPr>
                <w:rFonts w:hint="eastAsia" w:ascii="宋体" w:hAnsi="宋体" w:eastAsia="宋体" w:cs="宋体"/>
                <w:color w:val="auto"/>
                <w:highlight w:val="none"/>
              </w:rPr>
              <w:t>。</w:t>
            </w:r>
          </w:p>
        </w:tc>
      </w:tr>
      <w:tr w14:paraId="2CF7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93" w:type="dxa"/>
            <w:vAlign w:val="center"/>
          </w:tcPr>
          <w:p w14:paraId="159BD5CB">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1.4.1</w:t>
            </w:r>
          </w:p>
        </w:tc>
        <w:tc>
          <w:tcPr>
            <w:tcW w:w="2284" w:type="dxa"/>
            <w:vAlign w:val="center"/>
          </w:tcPr>
          <w:p w14:paraId="1C408CC1">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 xml:space="preserve">投标人资格要求 </w:t>
            </w:r>
          </w:p>
        </w:tc>
        <w:tc>
          <w:tcPr>
            <w:tcW w:w="6780" w:type="dxa"/>
          </w:tcPr>
          <w:p w14:paraId="4EA759AC">
            <w:pPr>
              <w:widowControl/>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6F77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3" w:type="dxa"/>
            <w:vAlign w:val="center"/>
          </w:tcPr>
          <w:p w14:paraId="672F0BA9">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1.4.2</w:t>
            </w:r>
          </w:p>
        </w:tc>
        <w:tc>
          <w:tcPr>
            <w:tcW w:w="2284" w:type="dxa"/>
            <w:vAlign w:val="center"/>
          </w:tcPr>
          <w:p w14:paraId="1CE261F4">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是否接受联合体投标</w:t>
            </w:r>
          </w:p>
        </w:tc>
        <w:tc>
          <w:tcPr>
            <w:tcW w:w="6780" w:type="dxa"/>
            <w:vAlign w:val="center"/>
          </w:tcPr>
          <w:p w14:paraId="2AB433D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不接受</w:t>
            </w:r>
          </w:p>
        </w:tc>
      </w:tr>
      <w:tr w14:paraId="62BC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B33676F">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1.5</w:t>
            </w:r>
          </w:p>
        </w:tc>
        <w:tc>
          <w:tcPr>
            <w:tcW w:w="2284" w:type="dxa"/>
            <w:vAlign w:val="center"/>
          </w:tcPr>
          <w:p w14:paraId="04D216DD">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踏勘现场</w:t>
            </w:r>
          </w:p>
        </w:tc>
        <w:tc>
          <w:tcPr>
            <w:tcW w:w="6780" w:type="dxa"/>
            <w:vAlign w:val="center"/>
          </w:tcPr>
          <w:p w14:paraId="617F6007">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不组织；投标人须自行踏勘现场，若不自行踏勘现场导致投标报价少报等一切后果由投标人负责，后期不予增加任何费用。如有需要可向招标人提出帮助，但自行踏勘所发生的一切费用及后果由投标人负责。</w:t>
            </w:r>
          </w:p>
        </w:tc>
      </w:tr>
      <w:tr w14:paraId="399A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B95331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1.6</w:t>
            </w:r>
          </w:p>
        </w:tc>
        <w:tc>
          <w:tcPr>
            <w:tcW w:w="2284" w:type="dxa"/>
            <w:vAlign w:val="center"/>
          </w:tcPr>
          <w:p w14:paraId="5C0038F9">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投标预备会</w:t>
            </w:r>
          </w:p>
        </w:tc>
        <w:tc>
          <w:tcPr>
            <w:tcW w:w="6780" w:type="dxa"/>
            <w:vAlign w:val="center"/>
          </w:tcPr>
          <w:p w14:paraId="6A2C9CB0">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不召开</w:t>
            </w:r>
          </w:p>
        </w:tc>
      </w:tr>
      <w:tr w14:paraId="63DB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5F7F236">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1.7</w:t>
            </w:r>
          </w:p>
        </w:tc>
        <w:tc>
          <w:tcPr>
            <w:tcW w:w="2284" w:type="dxa"/>
            <w:vAlign w:val="center"/>
          </w:tcPr>
          <w:p w14:paraId="29A4C136">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分  包</w:t>
            </w:r>
          </w:p>
        </w:tc>
        <w:tc>
          <w:tcPr>
            <w:tcW w:w="6780" w:type="dxa"/>
            <w:vAlign w:val="center"/>
          </w:tcPr>
          <w:p w14:paraId="082B111D">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不允许</w:t>
            </w:r>
          </w:p>
        </w:tc>
      </w:tr>
      <w:tr w14:paraId="218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EBBE8E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1.8</w:t>
            </w:r>
          </w:p>
        </w:tc>
        <w:tc>
          <w:tcPr>
            <w:tcW w:w="2284" w:type="dxa"/>
            <w:vAlign w:val="center"/>
          </w:tcPr>
          <w:p w14:paraId="162AF7B4">
            <w:pPr>
              <w:shd w:val="clear"/>
              <w:spacing w:line="360" w:lineRule="auto"/>
              <w:rPr>
                <w:rFonts w:ascii="宋体" w:hAnsi="宋体" w:eastAsia="宋体" w:cs="宋体"/>
                <w:color w:val="auto"/>
                <w:highlight w:val="none"/>
              </w:rPr>
            </w:pPr>
            <w:r>
              <w:rPr>
                <w:rFonts w:hint="eastAsia" w:ascii="宋体" w:hAnsi="宋体" w:eastAsia="宋体" w:cs="宋体"/>
                <w:bCs/>
                <w:color w:val="auto"/>
                <w:kern w:val="0"/>
                <w:highlight w:val="none"/>
              </w:rPr>
              <w:t>偏  离</w:t>
            </w:r>
          </w:p>
        </w:tc>
        <w:tc>
          <w:tcPr>
            <w:tcW w:w="6780" w:type="dxa"/>
            <w:vAlign w:val="center"/>
          </w:tcPr>
          <w:p w14:paraId="03BF0D57">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不允许</w:t>
            </w:r>
          </w:p>
        </w:tc>
      </w:tr>
      <w:tr w14:paraId="7861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CC53673">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2.1</w:t>
            </w:r>
          </w:p>
        </w:tc>
        <w:tc>
          <w:tcPr>
            <w:tcW w:w="2284" w:type="dxa"/>
            <w:vAlign w:val="center"/>
          </w:tcPr>
          <w:p w14:paraId="67522897">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构成招标文件的</w:t>
            </w:r>
            <w:r>
              <w:rPr>
                <w:rFonts w:hint="eastAsia" w:ascii="宋体" w:hAnsi="宋体" w:eastAsia="宋体" w:cs="宋体"/>
                <w:color w:val="auto"/>
                <w:highlight w:val="none"/>
                <w:lang w:eastAsia="zh-CN"/>
              </w:rPr>
              <w:t>其他</w:t>
            </w:r>
            <w:r>
              <w:rPr>
                <w:rFonts w:hint="eastAsia" w:ascii="宋体" w:hAnsi="宋体" w:eastAsia="宋体" w:cs="宋体"/>
                <w:color w:val="auto"/>
                <w:highlight w:val="none"/>
              </w:rPr>
              <w:t>材料</w:t>
            </w:r>
          </w:p>
        </w:tc>
        <w:tc>
          <w:tcPr>
            <w:tcW w:w="6780" w:type="dxa"/>
            <w:vAlign w:val="center"/>
          </w:tcPr>
          <w:p w14:paraId="19F74EC6">
            <w:pPr>
              <w:shd w:val="clear"/>
              <w:spacing w:line="360" w:lineRule="auto"/>
              <w:rPr>
                <w:rFonts w:ascii="宋体" w:hAnsi="宋体" w:eastAsia="宋体" w:cs="宋体"/>
                <w:color w:val="auto"/>
                <w:highlight w:val="none"/>
                <w:u w:val="single"/>
              </w:rPr>
            </w:pPr>
            <w:r>
              <w:rPr>
                <w:rFonts w:hint="eastAsia" w:ascii="宋体" w:hAnsi="宋体" w:eastAsia="宋体" w:cs="宋体"/>
                <w:bCs/>
                <w:color w:val="auto"/>
                <w:highlight w:val="none"/>
              </w:rPr>
              <w:t>招标文件的澄清、修改文件（答疑回复或更正公告）</w:t>
            </w:r>
          </w:p>
        </w:tc>
      </w:tr>
      <w:tr w14:paraId="3FFE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0DE6B61">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2.2</w:t>
            </w:r>
          </w:p>
          <w:p w14:paraId="3E1418C4">
            <w:pPr>
              <w:shd w:val="clear"/>
              <w:spacing w:line="360" w:lineRule="auto"/>
              <w:jc w:val="center"/>
              <w:rPr>
                <w:rFonts w:ascii="宋体" w:hAnsi="宋体" w:eastAsia="宋体" w:cs="宋体"/>
                <w:color w:val="auto"/>
                <w:highlight w:val="none"/>
              </w:rPr>
            </w:pPr>
          </w:p>
        </w:tc>
        <w:tc>
          <w:tcPr>
            <w:tcW w:w="2284" w:type="dxa"/>
            <w:vAlign w:val="center"/>
          </w:tcPr>
          <w:p w14:paraId="59182E5A">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对招标文件提出异议及对异议的答复</w:t>
            </w:r>
          </w:p>
        </w:tc>
        <w:tc>
          <w:tcPr>
            <w:tcW w:w="6780" w:type="dxa"/>
            <w:vAlign w:val="center"/>
          </w:tcPr>
          <w:p w14:paraId="2C480DE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接受质疑的电子邮箱（或公众号）：</w:t>
            </w:r>
            <w:r>
              <w:rPr>
                <w:rFonts w:hint="eastAsia" w:ascii="宋体" w:hAnsi="宋体" w:eastAsia="宋体" w:cs="宋体"/>
                <w:color w:val="auto"/>
                <w:highlight w:val="none"/>
                <w:lang w:eastAsia="zh-CN"/>
              </w:rPr>
              <w:t>370509802</w:t>
            </w:r>
            <w:r>
              <w:rPr>
                <w:rFonts w:hint="eastAsia" w:ascii="宋体" w:hAnsi="宋体" w:eastAsia="宋体" w:cs="宋体"/>
                <w:color w:val="auto"/>
                <w:highlight w:val="none"/>
              </w:rPr>
              <w:t xml:space="preserve">@qq.com    </w:t>
            </w:r>
          </w:p>
          <w:p w14:paraId="0414241C">
            <w:pPr>
              <w:widowControl/>
              <w:shd w:val="clear"/>
              <w:adjustRightInd w:val="0"/>
              <w:snapToGrid w:val="0"/>
              <w:spacing w:line="360" w:lineRule="auto"/>
              <w:outlineLvl w:val="0"/>
              <w:rPr>
                <w:rFonts w:ascii="宋体" w:hAnsi="宋体" w:eastAsia="宋体" w:cs="宋体"/>
                <w:color w:val="auto"/>
                <w:highlight w:val="none"/>
              </w:rPr>
            </w:pPr>
            <w:r>
              <w:rPr>
                <w:rFonts w:hint="eastAsia" w:ascii="宋体" w:hAnsi="宋体" w:eastAsia="宋体" w:cs="宋体"/>
                <w:color w:val="auto"/>
                <w:highlight w:val="none"/>
              </w:rPr>
              <w:t>投标人提出质疑的递交方式、截止时间：投标人认为招标文件、中标结果使自己的权益受到损害的，可以在招标文件发布之日起、中标结果公示之日起7个工作日内，以书面形式向招标人、采购代理机构提出质疑，联系方式、通讯地址详见招标公告。质疑函格式参照财政部制定的政府采购投标人质疑函范本。</w:t>
            </w:r>
          </w:p>
          <w:p w14:paraId="4240BC6F">
            <w:pPr>
              <w:shd w:val="clear"/>
              <w:spacing w:after="120" w:line="360" w:lineRule="auto"/>
              <w:rPr>
                <w:rFonts w:ascii="宋体" w:hAnsi="宋体" w:eastAsia="宋体" w:cs="宋体"/>
                <w:color w:val="auto"/>
                <w:highlight w:val="none"/>
              </w:rPr>
            </w:pPr>
            <w:r>
              <w:rPr>
                <w:rFonts w:hint="eastAsia" w:ascii="宋体" w:hAnsi="宋体" w:eastAsia="宋体" w:cs="宋体"/>
                <w:color w:val="auto"/>
                <w:highlight w:val="none"/>
              </w:rPr>
              <w:t>询问答复：在</w:t>
            </w:r>
            <w:r>
              <w:rPr>
                <w:rFonts w:hint="eastAsia" w:ascii="宋体" w:hAnsi="宋体" w:eastAsia="宋体" w:cs="宋体"/>
                <w:color w:val="auto"/>
                <w:kern w:val="0"/>
                <w:highlight w:val="none"/>
                <w:lang w:eastAsia="zh-CN"/>
              </w:rPr>
              <w:t>阜阳市投资发展集团有限公司</w:t>
            </w:r>
            <w:r>
              <w:rPr>
                <w:rFonts w:hint="eastAsia" w:ascii="宋体" w:hAnsi="宋体" w:eastAsia="宋体" w:cs="宋体"/>
                <w:color w:val="auto"/>
                <w:kern w:val="0"/>
                <w:highlight w:val="none"/>
              </w:rPr>
              <w:t>网站http://www.fytfjt.com/</w:t>
            </w:r>
            <w:r>
              <w:rPr>
                <w:rFonts w:hint="eastAsia" w:ascii="宋体" w:hAnsi="宋体" w:eastAsia="宋体" w:cs="宋体"/>
                <w:color w:val="auto"/>
                <w:highlight w:val="none"/>
              </w:rPr>
              <w:t>发布，招标人不再另行通知。该答复内容为招标文件的组成部分，对投标人具有同样约束力效力。投标人应主动上网查询。招标人不承担投标人未及时关注相关信息引发的相关责任。</w:t>
            </w:r>
          </w:p>
        </w:tc>
      </w:tr>
      <w:tr w14:paraId="7271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8F20FDE">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2.3</w:t>
            </w:r>
          </w:p>
        </w:tc>
        <w:tc>
          <w:tcPr>
            <w:tcW w:w="2284" w:type="dxa"/>
            <w:vAlign w:val="center"/>
          </w:tcPr>
          <w:p w14:paraId="486DD885">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招标文件的澄清及修改</w:t>
            </w:r>
          </w:p>
        </w:tc>
        <w:tc>
          <w:tcPr>
            <w:tcW w:w="6780" w:type="dxa"/>
            <w:vAlign w:val="center"/>
          </w:tcPr>
          <w:p w14:paraId="2CFB611E">
            <w:pPr>
              <w:shd w:val="clear"/>
              <w:spacing w:after="120" w:line="360" w:lineRule="auto"/>
              <w:rPr>
                <w:rFonts w:ascii="宋体" w:hAnsi="宋体" w:eastAsia="宋体" w:cs="宋体"/>
                <w:color w:val="auto"/>
                <w:highlight w:val="none"/>
              </w:rPr>
            </w:pPr>
            <w:r>
              <w:rPr>
                <w:rFonts w:hint="eastAsia" w:ascii="宋体" w:hAnsi="宋体" w:eastAsia="宋体" w:cs="宋体"/>
                <w:color w:val="auto"/>
                <w:highlight w:val="none"/>
              </w:rPr>
              <w:t>澄清或修改：在</w:t>
            </w:r>
            <w:r>
              <w:rPr>
                <w:rFonts w:hint="eastAsia" w:ascii="宋体" w:hAnsi="宋体" w:eastAsia="宋体" w:cs="宋体"/>
                <w:color w:val="auto"/>
                <w:kern w:val="0"/>
                <w:highlight w:val="none"/>
                <w:lang w:eastAsia="zh-CN"/>
              </w:rPr>
              <w:t>阜阳市投资发展集团有限公司</w:t>
            </w:r>
            <w:r>
              <w:rPr>
                <w:rFonts w:hint="eastAsia" w:ascii="宋体" w:hAnsi="宋体" w:eastAsia="宋体" w:cs="宋体"/>
                <w:color w:val="auto"/>
                <w:kern w:val="0"/>
                <w:highlight w:val="none"/>
              </w:rPr>
              <w:t>网站http://www.fytfjt.com/</w:t>
            </w:r>
            <w:r>
              <w:rPr>
                <w:rFonts w:hint="eastAsia" w:ascii="宋体" w:hAnsi="宋体" w:eastAsia="宋体" w:cs="宋体"/>
                <w:color w:val="auto"/>
                <w:highlight w:val="none"/>
              </w:rPr>
              <w:t>发布，招标人不再另行通知。该澄清或修改内容为招标文件的组成部分，对投标人具有同样约束力效力。投标人应主动上网查询。招标人不承担投标人未及时关注相关信息引发的相关责任。</w:t>
            </w:r>
          </w:p>
          <w:p w14:paraId="58C4F085">
            <w:pPr>
              <w:shd w:val="clear"/>
              <w:spacing w:after="120" w:line="360" w:lineRule="auto"/>
              <w:rPr>
                <w:rFonts w:ascii="宋体" w:hAnsi="宋体" w:eastAsia="宋体" w:cs="宋体"/>
                <w:color w:val="auto"/>
                <w:highlight w:val="none"/>
              </w:rPr>
            </w:pPr>
            <w:r>
              <w:rPr>
                <w:rFonts w:hint="eastAsia" w:ascii="宋体" w:hAnsi="宋体" w:eastAsia="宋体" w:cs="宋体"/>
                <w:color w:val="auto"/>
                <w:kern w:val="0"/>
                <w:highlight w:val="none"/>
              </w:rPr>
              <w:t>澄清或者修改的内容可能影响投标文件编制的，招标人或者采购代理机构将在投标截止时间至少15日前，</w:t>
            </w:r>
            <w:r>
              <w:rPr>
                <w:rFonts w:hint="eastAsia" w:ascii="宋体" w:hAnsi="宋体" w:eastAsia="宋体" w:cs="宋体"/>
                <w:color w:val="auto"/>
                <w:highlight w:val="none"/>
              </w:rPr>
              <w:t>在</w:t>
            </w:r>
            <w:r>
              <w:rPr>
                <w:rFonts w:hint="eastAsia" w:ascii="宋体" w:hAnsi="宋体" w:eastAsia="宋体" w:cs="宋体"/>
                <w:color w:val="auto"/>
                <w:kern w:val="0"/>
                <w:highlight w:val="none"/>
                <w:lang w:eastAsia="zh-CN"/>
              </w:rPr>
              <w:t>阜阳市投资发展集团有限公司</w:t>
            </w:r>
            <w:r>
              <w:rPr>
                <w:rFonts w:hint="eastAsia" w:ascii="宋体" w:hAnsi="宋体" w:eastAsia="宋体" w:cs="宋体"/>
                <w:color w:val="auto"/>
                <w:kern w:val="0"/>
                <w:highlight w:val="none"/>
              </w:rPr>
              <w:t>网站http://www.fytfjt.com/</w:t>
            </w:r>
            <w:r>
              <w:rPr>
                <w:rFonts w:hint="eastAsia" w:ascii="宋体" w:hAnsi="宋体" w:eastAsia="宋体" w:cs="宋体"/>
                <w:color w:val="auto"/>
                <w:highlight w:val="none"/>
              </w:rPr>
              <w:t>发布</w:t>
            </w:r>
            <w:r>
              <w:rPr>
                <w:rFonts w:hint="eastAsia" w:ascii="宋体" w:hAnsi="宋体" w:eastAsia="宋体" w:cs="宋体"/>
                <w:color w:val="auto"/>
                <w:kern w:val="0"/>
                <w:highlight w:val="none"/>
              </w:rPr>
              <w:t>通知，告知所有获取招标文件的潜在投标人；不足15日的，顺延提交投标文件的截止时间。</w:t>
            </w:r>
          </w:p>
          <w:p w14:paraId="6F050D80">
            <w:pPr>
              <w:shd w:val="clear"/>
              <w:spacing w:after="120" w:line="360" w:lineRule="auto"/>
              <w:rPr>
                <w:rFonts w:ascii="宋体" w:hAnsi="宋体" w:eastAsia="宋体" w:cs="宋体"/>
                <w:color w:val="auto"/>
                <w:highlight w:val="none"/>
              </w:rPr>
            </w:pPr>
            <w:r>
              <w:rPr>
                <w:rFonts w:hint="eastAsia" w:ascii="宋体" w:hAnsi="宋体" w:eastAsia="宋体" w:cs="宋体"/>
                <w:color w:val="auto"/>
                <w:kern w:val="0"/>
                <w:highlight w:val="none"/>
              </w:rPr>
              <w:t>在投标截止时间前，招标人可以视采购具体情况，延长投标截止时间和开标时间，并在招标文件要求提交投标文件的截止时间三日前，在网站上发布变更公告。在上述情况下，招标人和投标人在投标截止期方面的全部权利、责任和义务，将适用于延长后新的投标截止期。</w:t>
            </w:r>
          </w:p>
        </w:tc>
      </w:tr>
      <w:tr w14:paraId="0557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93" w:type="dxa"/>
            <w:vAlign w:val="center"/>
          </w:tcPr>
          <w:p w14:paraId="5DF35B68">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3.1</w:t>
            </w:r>
          </w:p>
        </w:tc>
        <w:tc>
          <w:tcPr>
            <w:tcW w:w="2284" w:type="dxa"/>
            <w:vAlign w:val="center"/>
          </w:tcPr>
          <w:p w14:paraId="4CFB427D">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投标有效期</w:t>
            </w:r>
          </w:p>
        </w:tc>
        <w:tc>
          <w:tcPr>
            <w:tcW w:w="6780" w:type="dxa"/>
            <w:vAlign w:val="center"/>
          </w:tcPr>
          <w:p w14:paraId="11D3A091">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投标截止时间之日起120 日历天</w:t>
            </w:r>
          </w:p>
        </w:tc>
      </w:tr>
      <w:tr w14:paraId="1BB2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3" w:type="dxa"/>
            <w:vAlign w:val="center"/>
          </w:tcPr>
          <w:p w14:paraId="78EBD527">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3.2</w:t>
            </w:r>
          </w:p>
        </w:tc>
        <w:tc>
          <w:tcPr>
            <w:tcW w:w="2284" w:type="dxa"/>
            <w:vAlign w:val="center"/>
          </w:tcPr>
          <w:p w14:paraId="4D3E7063">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投标保证金</w:t>
            </w:r>
          </w:p>
        </w:tc>
        <w:tc>
          <w:tcPr>
            <w:tcW w:w="6780" w:type="dxa"/>
            <w:vAlign w:val="center"/>
          </w:tcPr>
          <w:p w14:paraId="70CEC180">
            <w:pPr>
              <w:shd w:val="clear"/>
              <w:spacing w:after="120" w:line="360" w:lineRule="auto"/>
              <w:rPr>
                <w:rFonts w:ascii="宋体" w:hAnsi="宋体" w:eastAsia="宋体" w:cs="宋体"/>
                <w:b/>
                <w:color w:val="auto"/>
                <w:highlight w:val="none"/>
              </w:rPr>
            </w:pPr>
            <w:r>
              <w:rPr>
                <w:rFonts w:hint="eastAsia" w:ascii="宋体" w:hAnsi="宋体" w:eastAsia="宋体" w:cs="宋体"/>
                <w:color w:val="auto"/>
                <w:highlight w:val="none"/>
              </w:rPr>
              <w:t>免收</w:t>
            </w:r>
          </w:p>
        </w:tc>
      </w:tr>
      <w:tr w14:paraId="38A1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A364A0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3.3</w:t>
            </w:r>
          </w:p>
        </w:tc>
        <w:tc>
          <w:tcPr>
            <w:tcW w:w="2284" w:type="dxa"/>
            <w:vAlign w:val="center"/>
          </w:tcPr>
          <w:p w14:paraId="7C4509F2">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是否允许递交备选投标方案</w:t>
            </w:r>
          </w:p>
        </w:tc>
        <w:tc>
          <w:tcPr>
            <w:tcW w:w="6780" w:type="dxa"/>
            <w:vAlign w:val="center"/>
          </w:tcPr>
          <w:p w14:paraId="425FC8E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不允许</w:t>
            </w:r>
          </w:p>
        </w:tc>
      </w:tr>
      <w:tr w14:paraId="17E8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93" w:type="dxa"/>
            <w:vAlign w:val="center"/>
          </w:tcPr>
          <w:p w14:paraId="35ACACB8">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3.4</w:t>
            </w:r>
          </w:p>
        </w:tc>
        <w:tc>
          <w:tcPr>
            <w:tcW w:w="2284" w:type="dxa"/>
            <w:vAlign w:val="center"/>
          </w:tcPr>
          <w:p w14:paraId="1DC10B2C">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签字或盖章要求</w:t>
            </w:r>
          </w:p>
        </w:tc>
        <w:tc>
          <w:tcPr>
            <w:tcW w:w="6780" w:type="dxa"/>
            <w:vAlign w:val="center"/>
          </w:tcPr>
          <w:p w14:paraId="4E85F3DC">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符合第六章投标文件格式要求</w:t>
            </w:r>
          </w:p>
        </w:tc>
      </w:tr>
      <w:tr w14:paraId="72FF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93" w:type="dxa"/>
            <w:vAlign w:val="center"/>
          </w:tcPr>
          <w:p w14:paraId="5CBCE820">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3.5</w:t>
            </w:r>
          </w:p>
        </w:tc>
        <w:tc>
          <w:tcPr>
            <w:tcW w:w="2284" w:type="dxa"/>
            <w:vAlign w:val="center"/>
          </w:tcPr>
          <w:p w14:paraId="66DFA2E9">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投标文件份数</w:t>
            </w:r>
          </w:p>
        </w:tc>
        <w:tc>
          <w:tcPr>
            <w:tcW w:w="6780" w:type="dxa"/>
            <w:vAlign w:val="center"/>
          </w:tcPr>
          <w:p w14:paraId="1581DAA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投标时电子版1份，中标后提供4份与电子版内容完全一致的纸质版投标文件。</w:t>
            </w:r>
          </w:p>
        </w:tc>
      </w:tr>
      <w:tr w14:paraId="4FBC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993" w:type="dxa"/>
            <w:vAlign w:val="center"/>
          </w:tcPr>
          <w:p w14:paraId="509B0EFA">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4.1</w:t>
            </w:r>
          </w:p>
        </w:tc>
        <w:tc>
          <w:tcPr>
            <w:tcW w:w="2284" w:type="dxa"/>
            <w:vAlign w:val="center"/>
          </w:tcPr>
          <w:p w14:paraId="57E889E5">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电子版文件备注内容</w:t>
            </w:r>
          </w:p>
        </w:tc>
        <w:tc>
          <w:tcPr>
            <w:tcW w:w="6780" w:type="dxa"/>
            <w:vAlign w:val="center"/>
          </w:tcPr>
          <w:p w14:paraId="7784BF16">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6ABE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8BA49E0">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4.2.1</w:t>
            </w:r>
          </w:p>
        </w:tc>
        <w:tc>
          <w:tcPr>
            <w:tcW w:w="2284" w:type="dxa"/>
            <w:vAlign w:val="center"/>
          </w:tcPr>
          <w:p w14:paraId="16621A7D">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投标文件递交、截止时间</w:t>
            </w:r>
          </w:p>
        </w:tc>
        <w:tc>
          <w:tcPr>
            <w:tcW w:w="6780" w:type="dxa"/>
            <w:vAlign w:val="center"/>
          </w:tcPr>
          <w:p w14:paraId="02040C1C">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650D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65C9291">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4.2.2</w:t>
            </w:r>
          </w:p>
        </w:tc>
        <w:tc>
          <w:tcPr>
            <w:tcW w:w="2284" w:type="dxa"/>
            <w:vAlign w:val="center"/>
          </w:tcPr>
          <w:p w14:paraId="1B969B82">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递交投标文件地点</w:t>
            </w:r>
          </w:p>
        </w:tc>
        <w:tc>
          <w:tcPr>
            <w:tcW w:w="6780" w:type="dxa"/>
            <w:vAlign w:val="center"/>
          </w:tcPr>
          <w:p w14:paraId="0B6C9FEB">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详见招标公告</w:t>
            </w:r>
          </w:p>
        </w:tc>
      </w:tr>
      <w:tr w14:paraId="71BC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124E00E">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4.2.3</w:t>
            </w:r>
          </w:p>
        </w:tc>
        <w:tc>
          <w:tcPr>
            <w:tcW w:w="2284" w:type="dxa"/>
            <w:vAlign w:val="center"/>
          </w:tcPr>
          <w:p w14:paraId="3FDD7192">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是否退还投标文件</w:t>
            </w:r>
          </w:p>
        </w:tc>
        <w:tc>
          <w:tcPr>
            <w:tcW w:w="6780" w:type="dxa"/>
            <w:vAlign w:val="center"/>
          </w:tcPr>
          <w:p w14:paraId="2360A2A1">
            <w:pPr>
              <w:shd w:val="clea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否</w:t>
            </w:r>
          </w:p>
        </w:tc>
      </w:tr>
      <w:tr w14:paraId="1549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93" w:type="dxa"/>
            <w:vAlign w:val="center"/>
          </w:tcPr>
          <w:p w14:paraId="029C735E">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5.1</w:t>
            </w:r>
          </w:p>
        </w:tc>
        <w:tc>
          <w:tcPr>
            <w:tcW w:w="2284" w:type="dxa"/>
            <w:vAlign w:val="center"/>
          </w:tcPr>
          <w:p w14:paraId="335CCDFE">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开标时间和地点</w:t>
            </w:r>
          </w:p>
        </w:tc>
        <w:tc>
          <w:tcPr>
            <w:tcW w:w="6780" w:type="dxa"/>
            <w:vAlign w:val="center"/>
          </w:tcPr>
          <w:p w14:paraId="5B0F34DE">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开标时间：同投标截止时间</w:t>
            </w:r>
          </w:p>
          <w:p w14:paraId="0FD79CFF">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开标地点：同投标文件递交地点</w:t>
            </w:r>
          </w:p>
        </w:tc>
      </w:tr>
      <w:tr w14:paraId="2A70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5B22A12">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6.1</w:t>
            </w:r>
          </w:p>
        </w:tc>
        <w:tc>
          <w:tcPr>
            <w:tcW w:w="2284" w:type="dxa"/>
            <w:vAlign w:val="center"/>
          </w:tcPr>
          <w:p w14:paraId="1FC81696">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评标委员会的组建</w:t>
            </w:r>
          </w:p>
        </w:tc>
        <w:tc>
          <w:tcPr>
            <w:tcW w:w="6780" w:type="dxa"/>
            <w:vAlign w:val="center"/>
          </w:tcPr>
          <w:p w14:paraId="4B0381AF">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评标委员会构成：5 人及以上单数</w:t>
            </w:r>
          </w:p>
        </w:tc>
      </w:tr>
      <w:tr w14:paraId="141E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C052269">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7.1</w:t>
            </w:r>
          </w:p>
        </w:tc>
        <w:tc>
          <w:tcPr>
            <w:tcW w:w="2284" w:type="dxa"/>
            <w:vAlign w:val="center"/>
          </w:tcPr>
          <w:p w14:paraId="5A5AC7D8">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是否授权评标委员会确定中标人</w:t>
            </w:r>
          </w:p>
        </w:tc>
        <w:tc>
          <w:tcPr>
            <w:tcW w:w="6780" w:type="dxa"/>
            <w:vAlign w:val="center"/>
          </w:tcPr>
          <w:p w14:paraId="577D7A67">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shd w:val="clear" w:color="auto" w:fill="000000"/>
              </w:rPr>
              <w:t>□</w:t>
            </w:r>
            <w:r>
              <w:rPr>
                <w:rFonts w:hint="eastAsia" w:ascii="宋体" w:hAnsi="宋体" w:eastAsia="宋体" w:cs="宋体"/>
                <w:color w:val="auto"/>
                <w:highlight w:val="none"/>
              </w:rPr>
              <w:t>否，推荐的中标候选人数：</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lang w:eastAsia="zh-CN"/>
              </w:rPr>
              <w:t>-10</w:t>
            </w:r>
            <w:r>
              <w:rPr>
                <w:rFonts w:hint="eastAsia" w:ascii="宋体" w:hAnsi="宋体" w:eastAsia="宋体" w:cs="宋体"/>
                <w:b/>
                <w:bCs/>
                <w:color w:val="auto"/>
                <w:highlight w:val="none"/>
              </w:rPr>
              <w:t xml:space="preserve">名；  </w:t>
            </w:r>
          </w:p>
        </w:tc>
      </w:tr>
      <w:tr w14:paraId="663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81D2025">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7.2</w:t>
            </w:r>
          </w:p>
        </w:tc>
        <w:tc>
          <w:tcPr>
            <w:tcW w:w="2284" w:type="dxa"/>
            <w:vAlign w:val="center"/>
          </w:tcPr>
          <w:p w14:paraId="680D44A0">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中标候选人公示媒介</w:t>
            </w:r>
          </w:p>
        </w:tc>
        <w:tc>
          <w:tcPr>
            <w:tcW w:w="6780" w:type="dxa"/>
            <w:vAlign w:val="center"/>
          </w:tcPr>
          <w:p w14:paraId="0A85F28A">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发布招标公告的网站</w:t>
            </w:r>
          </w:p>
        </w:tc>
      </w:tr>
      <w:tr w14:paraId="6D3A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56B715A">
            <w:pPr>
              <w:shd w:val="clear"/>
              <w:spacing w:line="360" w:lineRule="auto"/>
              <w:jc w:val="center"/>
              <w:rPr>
                <w:rFonts w:ascii="宋体" w:hAnsi="宋体" w:eastAsia="宋体" w:cs="宋体"/>
                <w:color w:val="auto"/>
                <w:highlight w:val="none"/>
              </w:rPr>
            </w:pPr>
            <w:r>
              <w:rPr>
                <w:rFonts w:hint="eastAsia" w:ascii="宋体" w:hAnsi="宋体" w:eastAsia="宋体" w:cs="宋体"/>
                <w:color w:val="auto"/>
                <w:highlight w:val="none"/>
              </w:rPr>
              <w:t>7.3</w:t>
            </w:r>
          </w:p>
        </w:tc>
        <w:tc>
          <w:tcPr>
            <w:tcW w:w="2284" w:type="dxa"/>
            <w:vAlign w:val="center"/>
          </w:tcPr>
          <w:p w14:paraId="1BC966B5">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履约担保</w:t>
            </w:r>
          </w:p>
        </w:tc>
        <w:tc>
          <w:tcPr>
            <w:tcW w:w="6780" w:type="dxa"/>
            <w:vAlign w:val="center"/>
          </w:tcPr>
          <w:p w14:paraId="4382834F">
            <w:pPr>
              <w:shd w:val="clear"/>
              <w:spacing w:line="360" w:lineRule="auto"/>
              <w:ind w:firstLine="102" w:firstLineChars="49"/>
              <w:rPr>
                <w:rFonts w:ascii="宋体" w:hAnsi="宋体" w:eastAsia="宋体" w:cs="宋体"/>
                <w:color w:val="auto"/>
                <w:highlight w:val="none"/>
              </w:rPr>
            </w:pPr>
            <w:r>
              <w:rPr>
                <w:rFonts w:hint="eastAsia" w:ascii="宋体" w:hAnsi="宋体" w:eastAsia="宋体" w:cs="宋体"/>
                <w:color w:val="auto"/>
                <w:highlight w:val="none"/>
              </w:rPr>
              <w:t>担保形式：</w:t>
            </w:r>
            <w:r>
              <w:rPr>
                <w:rFonts w:hint="eastAsia" w:ascii="宋体" w:hAnsi="宋体" w:cs="宋体"/>
                <w:color w:val="auto"/>
                <w:highlight w:val="none"/>
                <w:lang w:val="en-US" w:eastAsia="zh-CN"/>
              </w:rPr>
              <w:t>现金</w:t>
            </w:r>
            <w:r>
              <w:rPr>
                <w:rFonts w:hint="eastAsia" w:ascii="宋体" w:hAnsi="宋体" w:eastAsia="宋体" w:cs="宋体"/>
                <w:color w:val="auto"/>
                <w:highlight w:val="none"/>
              </w:rPr>
              <w:t xml:space="preserve">  </w:t>
            </w:r>
          </w:p>
          <w:p w14:paraId="46B7A862">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 xml:space="preserve"> 担保金额：</w:t>
            </w:r>
            <w:r>
              <w:rPr>
                <w:rFonts w:hint="eastAsia" w:ascii="宋体" w:hAnsi="宋体" w:cs="宋体"/>
                <w:color w:val="auto"/>
                <w:highlight w:val="none"/>
                <w:lang w:val="en-US" w:eastAsia="zh-CN"/>
              </w:rPr>
              <w:t>2</w:t>
            </w:r>
            <w:r>
              <w:rPr>
                <w:rFonts w:hint="eastAsia" w:ascii="宋体" w:hAnsi="宋体" w:eastAsia="宋体" w:cs="宋体"/>
                <w:color w:val="auto"/>
                <w:highlight w:val="none"/>
              </w:rPr>
              <w:t>万元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入库单位在签订合同</w:t>
            </w:r>
            <w:r>
              <w:rPr>
                <w:rFonts w:hint="eastAsia" w:ascii="宋体" w:hAnsi="宋体" w:eastAsia="宋体" w:cs="宋体"/>
                <w:color w:val="auto"/>
                <w:highlight w:val="none"/>
                <w:lang w:val="en-US" w:eastAsia="zh-CN"/>
              </w:rPr>
              <w:t>时</w:t>
            </w:r>
            <w:r>
              <w:rPr>
                <w:rFonts w:hint="eastAsia" w:ascii="宋体" w:hAnsi="宋体" w:eastAsia="宋体" w:cs="宋体"/>
                <w:color w:val="auto"/>
                <w:highlight w:val="none"/>
              </w:rPr>
              <w:t>转至招标人指定账户，服务期限满或结束且验收合格后退还履约保证金。</w:t>
            </w:r>
          </w:p>
        </w:tc>
      </w:tr>
      <w:tr w14:paraId="12A6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057" w:type="dxa"/>
            <w:gridSpan w:val="3"/>
            <w:vAlign w:val="center"/>
          </w:tcPr>
          <w:p w14:paraId="43EF4306">
            <w:pPr>
              <w:numPr>
                <w:ilvl w:val="0"/>
                <w:numId w:val="1"/>
              </w:numPr>
              <w:shd w:val="clea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最高投标限价：参照原“皖价服〔2007〕86号”文件规定的相应咨询项目收费标准（下限费率）规定计算的费用金额的</w:t>
            </w:r>
            <w:r>
              <w:rPr>
                <w:rFonts w:hint="eastAsia" w:ascii="宋体" w:hAnsi="宋体" w:eastAsia="宋体" w:cs="宋体"/>
                <w:color w:val="auto"/>
                <w:highlight w:val="none"/>
                <w:u w:val="single"/>
              </w:rPr>
              <w:t>50</w:t>
            </w:r>
            <w:r>
              <w:rPr>
                <w:rFonts w:hint="eastAsia" w:ascii="宋体" w:hAnsi="宋体" w:eastAsia="宋体" w:cs="宋体"/>
                <w:color w:val="auto"/>
                <w:highlight w:val="none"/>
              </w:rPr>
              <w:t>%为最高投标限价</w:t>
            </w:r>
            <w:r>
              <w:rPr>
                <w:rFonts w:hint="eastAsia" w:ascii="宋体" w:hAnsi="宋体" w:eastAsia="宋体" w:cs="宋体"/>
                <w:color w:val="auto"/>
                <w:kern w:val="2"/>
                <w:sz w:val="21"/>
                <w:szCs w:val="21"/>
                <w:highlight w:val="none"/>
                <w:lang w:val="en-US" w:eastAsia="zh-CN" w:bidi="ar-SA"/>
              </w:rPr>
              <w:t>（单项合同服务费在30万元以内按中标价执行，单项服务费用高于30万元的按最高30万元执行；单个项目计费不足1000元的，按1000元收取）</w:t>
            </w:r>
            <w:r>
              <w:rPr>
                <w:rFonts w:hint="eastAsia" w:ascii="宋体" w:hAnsi="宋体" w:eastAsia="宋体" w:cs="宋体"/>
                <w:color w:val="auto"/>
                <w:highlight w:val="none"/>
                <w:lang w:eastAsia="zh-CN"/>
              </w:rPr>
              <w:t>。</w:t>
            </w:r>
          </w:p>
          <w:p w14:paraId="6E808BED">
            <w:pPr>
              <w:pStyle w:val="13"/>
              <w:numPr>
                <w:ilvl w:val="0"/>
                <w:numId w:val="0"/>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另外特别约定：</w:t>
            </w:r>
          </w:p>
          <w:p w14:paraId="12208A16">
            <w:pPr>
              <w:pStyle w:val="13"/>
              <w:numPr>
                <w:ilvl w:val="0"/>
                <w:numId w:val="0"/>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①工程量清单结算审核的基本收费与按核减额收费不同时计取，按就高不就低的原则只计其一；</w:t>
            </w:r>
          </w:p>
          <w:p w14:paraId="7FA124DF">
            <w:pPr>
              <w:pStyle w:val="13"/>
              <w:numPr>
                <w:ilvl w:val="0"/>
                <w:numId w:val="0"/>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②不计取钢筋抽样分析费用；</w:t>
            </w:r>
          </w:p>
          <w:p w14:paraId="60B19AE5">
            <w:pPr>
              <w:pStyle w:val="13"/>
              <w:numPr>
                <w:ilvl w:val="0"/>
                <w:numId w:val="0"/>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③不计核增费用；</w:t>
            </w:r>
          </w:p>
          <w:p w14:paraId="2A61347E">
            <w:pPr>
              <w:pStyle w:val="13"/>
              <w:numPr>
                <w:ilvl w:val="0"/>
                <w:numId w:val="0"/>
              </w:num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④送审金额超过5000万元的项目，“皖价服〔2007〕86号”文件规定中的核减额费率按2.5%计算；</w:t>
            </w:r>
          </w:p>
          <w:p w14:paraId="385EAFFC">
            <w:pPr>
              <w:pStyle w:val="13"/>
              <w:numPr>
                <w:ilvl w:val="0"/>
                <w:numId w:val="0"/>
              </w:numPr>
              <w:rPr>
                <w:rFonts w:hint="eastAsia"/>
                <w:lang w:val="en-US" w:eastAsia="zh-CN"/>
              </w:rPr>
            </w:pPr>
            <w:r>
              <w:rPr>
                <w:rFonts w:hint="eastAsia" w:ascii="宋体" w:hAnsi="宋体" w:eastAsia="宋体" w:cs="宋体"/>
                <w:color w:val="auto"/>
                <w:kern w:val="2"/>
                <w:sz w:val="21"/>
                <w:szCs w:val="21"/>
                <w:highlight w:val="none"/>
                <w:lang w:val="en-US" w:eastAsia="zh-CN" w:bidi="ar-SA"/>
              </w:rPr>
              <w:t>⑤工程量清单和控制价复核单位费用按“皖价服〔2007〕86号”文件规定中的控制价编制收费乘以入库中标费率乘以50%计取。</w:t>
            </w:r>
          </w:p>
        </w:tc>
      </w:tr>
      <w:tr w14:paraId="010E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057" w:type="dxa"/>
            <w:gridSpan w:val="3"/>
            <w:vAlign w:val="center"/>
          </w:tcPr>
          <w:p w14:paraId="15C33A30">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lang w:eastAsia="zh-CN"/>
              </w:rPr>
              <w:t>9.</w:t>
            </w:r>
            <w:r>
              <w:rPr>
                <w:rFonts w:hint="eastAsia" w:ascii="宋体" w:hAnsi="宋体" w:eastAsia="宋体" w:cs="宋体"/>
                <w:color w:val="auto"/>
                <w:highlight w:val="none"/>
              </w:rPr>
              <w:t>入库协议价格的确定：</w:t>
            </w:r>
          </w:p>
          <w:p w14:paraId="564448A8">
            <w:pPr>
              <w:shd w:val="clear"/>
              <w:spacing w:line="360" w:lineRule="auto"/>
              <w:rPr>
                <w:rFonts w:hint="eastAsia" w:ascii="宋体" w:hAnsi="宋体" w:eastAsia="宋体" w:cs="宋体"/>
                <w:color w:val="auto"/>
                <w:highlight w:val="none"/>
                <w:lang w:eastAsia="zh-CN"/>
              </w:rPr>
            </w:pPr>
            <w:r>
              <w:rPr>
                <w:rFonts w:hint="eastAsia"/>
              </w:rPr>
              <w:t>入库单位签订框架协议的费率：取所有入库投标报价计算的平均值为中标价。不足</w:t>
            </w:r>
            <w:r>
              <w:rPr>
                <w:rFonts w:hint="eastAsia"/>
                <w:lang w:val="en-US" w:eastAsia="zh-CN"/>
              </w:rPr>
              <w:t>5</w:t>
            </w:r>
            <w:r>
              <w:rPr>
                <w:rFonts w:hint="eastAsia"/>
              </w:rPr>
              <w:t>家时取所有入库投标报价计算的平均值为入库暂定执行价；待扩库后，取所有入库单位投标报价计算的平均值与暂定价相比较小者为最终中标价。</w:t>
            </w:r>
          </w:p>
        </w:tc>
      </w:tr>
      <w:tr w14:paraId="6C18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0057" w:type="dxa"/>
            <w:gridSpan w:val="3"/>
            <w:vAlign w:val="center"/>
          </w:tcPr>
          <w:p w14:paraId="7892BF1C">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lang w:eastAsia="zh-CN"/>
              </w:rPr>
              <w:t>10.</w:t>
            </w:r>
            <w:r>
              <w:rPr>
                <w:rFonts w:hint="eastAsia" w:ascii="宋体" w:hAnsi="宋体" w:eastAsia="宋体" w:cs="宋体"/>
                <w:color w:val="auto"/>
                <w:highlight w:val="none"/>
              </w:rPr>
              <w:t>招标文件解释权</w:t>
            </w:r>
          </w:p>
        </w:tc>
      </w:tr>
      <w:tr w14:paraId="4E8A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057" w:type="dxa"/>
            <w:gridSpan w:val="3"/>
            <w:vAlign w:val="center"/>
          </w:tcPr>
          <w:p w14:paraId="240E257D">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构成本招标文件的各个组成文件应互为解释，互为说明；如有不明确或不一致，构成合同文件组成内容，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其委托的代理机构负责解释。</w:t>
            </w:r>
          </w:p>
        </w:tc>
      </w:tr>
      <w:tr w14:paraId="464F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057" w:type="dxa"/>
            <w:gridSpan w:val="3"/>
            <w:vAlign w:val="center"/>
          </w:tcPr>
          <w:p w14:paraId="48581596">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11.招标代理服务费：每家入库单位</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000元；</w:t>
            </w:r>
          </w:p>
          <w:p w14:paraId="1C644F18">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收取方式：以上费用不单独列出，投标人自行考虑在投标报价中，中标人领取中标通知书前支付以上费用，必须从企业基本账户转入阜阳市同创投资咨询管理有限公司账户。</w:t>
            </w:r>
          </w:p>
          <w:p w14:paraId="19EAD86B">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收取方式：现金或转账（转款时请备注：XXX项目招标代理费）</w:t>
            </w:r>
          </w:p>
          <w:p w14:paraId="1CC8467D">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公司名称：阜阳市同创投资咨询管理有限公司</w:t>
            </w:r>
          </w:p>
          <w:p w14:paraId="14D7541F">
            <w:pPr>
              <w:shd w:val="clear"/>
              <w:spacing w:line="360" w:lineRule="auto"/>
              <w:rPr>
                <w:rFonts w:ascii="宋体" w:hAnsi="宋体" w:eastAsia="宋体" w:cs="宋体"/>
                <w:color w:val="auto"/>
                <w:highlight w:val="none"/>
              </w:rPr>
            </w:pPr>
            <w:r>
              <w:rPr>
                <w:rFonts w:hint="eastAsia" w:ascii="宋体" w:hAnsi="宋体" w:eastAsia="宋体" w:cs="宋体"/>
                <w:color w:val="auto"/>
                <w:highlight w:val="none"/>
              </w:rPr>
              <w:t>开户银行：阜阳颍东农村商业银行股份有限公司颍州路支行</w:t>
            </w:r>
          </w:p>
          <w:p w14:paraId="3241DFD8">
            <w:pPr>
              <w:shd w:val="clea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 xml:space="preserve">账    号：2000 0614 2558 1030 0000 122 </w:t>
            </w:r>
          </w:p>
        </w:tc>
      </w:tr>
      <w:tr w14:paraId="0A63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057" w:type="dxa"/>
            <w:gridSpan w:val="3"/>
            <w:vAlign w:val="center"/>
          </w:tcPr>
          <w:p w14:paraId="5B64F463">
            <w:pPr>
              <w:shd w:val="clear"/>
              <w:spacing w:line="360" w:lineRule="auto"/>
              <w:rPr>
                <w:rFonts w:ascii="宋体" w:hAnsi="宋体" w:eastAsia="宋体" w:cs="宋体"/>
                <w:color w:val="auto"/>
                <w:kern w:val="0"/>
                <w:highlight w:val="none"/>
              </w:rPr>
            </w:pPr>
            <w:r>
              <w:rPr>
                <w:rFonts w:hint="eastAsia" w:ascii="宋体" w:hAnsi="宋体" w:eastAsia="宋体" w:cs="宋体"/>
                <w:color w:val="auto"/>
                <w:highlight w:val="none"/>
                <w:lang w:eastAsia="zh-CN"/>
              </w:rPr>
              <w:t>12.</w:t>
            </w:r>
            <w:r>
              <w:rPr>
                <w:rFonts w:hint="eastAsia" w:ascii="宋体" w:hAnsi="宋体" w:eastAsia="宋体" w:cs="宋体"/>
                <w:color w:val="auto"/>
                <w:highlight w:val="none"/>
              </w:rPr>
              <w:t>其他注意事项</w:t>
            </w:r>
          </w:p>
        </w:tc>
      </w:tr>
      <w:tr w14:paraId="4C45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57" w:type="dxa"/>
            <w:gridSpan w:val="3"/>
            <w:vAlign w:val="center"/>
          </w:tcPr>
          <w:p w14:paraId="62E374D5">
            <w:pPr>
              <w:spacing w:line="360" w:lineRule="auto"/>
              <w:rPr>
                <w:rFonts w:ascii="宋体" w:hAnsi="宋体" w:cs="宋体"/>
              </w:rPr>
            </w:pPr>
            <w:r>
              <w:rPr>
                <w:rFonts w:hint="eastAsia" w:ascii="宋体" w:hAnsi="宋体" w:cs="宋体"/>
                <w:szCs w:val="22"/>
              </w:rPr>
              <w:t>1、本项目服务期</w:t>
            </w:r>
            <w:r>
              <w:rPr>
                <w:rFonts w:hint="eastAsia" w:ascii="宋体" w:hAnsi="宋体" w:cs="宋体"/>
                <w:szCs w:val="22"/>
                <w:lang w:val="en-US" w:eastAsia="zh-CN"/>
              </w:rPr>
              <w:t>3</w:t>
            </w:r>
            <w:r>
              <w:rPr>
                <w:rFonts w:hint="eastAsia" w:ascii="宋体" w:hAnsi="宋体" w:cs="宋体"/>
                <w:szCs w:val="22"/>
              </w:rPr>
              <w:t>年，确定拟入库单位后，采购人与拟入库单位暂签订3个月入库协议，期间采购人有权对入库单位投标文件资料的真实性进行</w:t>
            </w:r>
            <w:r>
              <w:rPr>
                <w:rFonts w:hint="eastAsia" w:ascii="宋体" w:hAnsi="宋体" w:cs="宋体"/>
                <w:szCs w:val="22"/>
                <w:lang w:val="en-US" w:eastAsia="zh-CN"/>
              </w:rPr>
              <w:t>进一步</w:t>
            </w:r>
            <w:r>
              <w:rPr>
                <w:rFonts w:hint="eastAsia" w:ascii="宋体" w:hAnsi="宋体" w:cs="宋体"/>
                <w:szCs w:val="22"/>
              </w:rPr>
              <w:t>核实，对办公</w:t>
            </w:r>
            <w:r>
              <w:rPr>
                <w:rFonts w:hint="eastAsia" w:ascii="宋体" w:hAnsi="宋体" w:cs="宋体"/>
              </w:rPr>
              <w:t>场所进行实地考察，如发现弄虚作假，</w:t>
            </w:r>
            <w:r>
              <w:rPr>
                <w:rFonts w:hint="eastAsia" w:ascii="宋体" w:hAnsi="宋体" w:cs="宋体"/>
                <w:lang w:val="zh-CN"/>
              </w:rPr>
              <w:t>采购人</w:t>
            </w:r>
            <w:r>
              <w:rPr>
                <w:rFonts w:hint="eastAsia" w:ascii="宋体" w:hAnsi="宋体" w:cs="宋体"/>
              </w:rPr>
              <w:t>有权取消其中标资格，同时履约保证金不予退还。3个月入库协议期间，办公场所和服务响应等</w:t>
            </w:r>
            <w:r>
              <w:rPr>
                <w:rFonts w:hint="eastAsia" w:ascii="宋体" w:hAnsi="宋体" w:cs="宋体"/>
                <w:lang w:eastAsia="zh-CN"/>
              </w:rPr>
              <w:t>无法</w:t>
            </w:r>
            <w:r>
              <w:rPr>
                <w:rFonts w:hint="eastAsia" w:ascii="宋体" w:hAnsi="宋体" w:cs="宋体"/>
              </w:rPr>
              <w:t>招标文件要求的</w:t>
            </w:r>
            <w:r>
              <w:rPr>
                <w:rFonts w:hint="eastAsia" w:ascii="宋体" w:hAnsi="宋体" w:cs="宋体"/>
                <w:szCs w:val="22"/>
              </w:rPr>
              <w:t>拟入库单位</w:t>
            </w:r>
            <w:r>
              <w:rPr>
                <w:rFonts w:hint="eastAsia" w:ascii="宋体" w:hAnsi="宋体" w:cs="宋体"/>
              </w:rPr>
              <w:t>，</w:t>
            </w:r>
            <w:r>
              <w:rPr>
                <w:rFonts w:hint="eastAsia" w:ascii="宋体" w:hAnsi="宋体" w:cs="宋体"/>
                <w:lang w:val="zh-CN"/>
              </w:rPr>
              <w:t>采购人</w:t>
            </w:r>
            <w:r>
              <w:rPr>
                <w:rFonts w:hint="eastAsia" w:ascii="宋体" w:hAnsi="宋体" w:cs="宋体"/>
              </w:rPr>
              <w:t>有权不再续签正式协议，对考核合格的单位，续签正式协议。</w:t>
            </w:r>
          </w:p>
          <w:p w14:paraId="54C2D423">
            <w:pPr>
              <w:spacing w:line="360" w:lineRule="auto"/>
              <w:rPr>
                <w:rFonts w:hint="eastAsia" w:ascii="宋体" w:hAnsi="宋体" w:cs="宋体"/>
                <w:szCs w:val="22"/>
              </w:rPr>
            </w:pPr>
            <w:r>
              <w:rPr>
                <w:rFonts w:hint="eastAsia" w:ascii="宋体" w:hAnsi="宋体" w:cs="宋体"/>
                <w:szCs w:val="22"/>
              </w:rPr>
              <w:t>2、特殊项目可由采购人根据入选单位实力和项目实际需求直接合同授予，所有入选单位不得有任何异议。</w:t>
            </w:r>
          </w:p>
          <w:p w14:paraId="0AA74CEE">
            <w:pPr>
              <w:spacing w:line="360" w:lineRule="auto"/>
              <w:rPr>
                <w:rFonts w:hint="eastAsia" w:ascii="宋体" w:hAnsi="宋体" w:cs="宋体"/>
                <w:szCs w:val="22"/>
              </w:rPr>
            </w:pPr>
            <w:r>
              <w:rPr>
                <w:rFonts w:hint="eastAsia" w:ascii="宋体" w:hAnsi="宋体" w:cs="宋体"/>
                <w:szCs w:val="22"/>
                <w:lang w:val="en-US" w:eastAsia="zh-CN"/>
              </w:rPr>
              <w:t>3、</w:t>
            </w:r>
            <w:r>
              <w:rPr>
                <w:rFonts w:hint="eastAsia" w:ascii="宋体" w:hAnsi="宋体" w:cs="宋体"/>
                <w:szCs w:val="22"/>
              </w:rPr>
              <w:t>服务响应时间：4小时，入库后未在响应时间内按采购人要求抵达现场并响应的，按阜阳投资发展集团有限公司中介服务库管理办法执行。</w:t>
            </w:r>
          </w:p>
          <w:p w14:paraId="2A3E4F3D">
            <w:pPr>
              <w:spacing w:line="360" w:lineRule="auto"/>
              <w:rPr>
                <w:rFonts w:hint="eastAsia" w:ascii="宋体" w:hAnsi="宋体" w:cs="宋体"/>
                <w:szCs w:val="22"/>
              </w:rPr>
            </w:pPr>
            <w:r>
              <w:rPr>
                <w:rFonts w:hint="eastAsia" w:ascii="宋体" w:hAnsi="宋体" w:cs="宋体"/>
                <w:szCs w:val="22"/>
                <w:lang w:val="en-US" w:eastAsia="zh-CN"/>
              </w:rPr>
              <w:t>4</w:t>
            </w:r>
            <w:r>
              <w:rPr>
                <w:rFonts w:hint="eastAsia" w:ascii="宋体" w:hAnsi="宋体" w:cs="宋体"/>
                <w:szCs w:val="22"/>
              </w:rPr>
              <w:t>、本项目所有入库单位在项目咨询过程中须接受采购人的日常业务管理，遵守招标人的相关管理制度规定，并且无条件服从阜阳投资发展集团有限公司中介服务库管理办法相关规定。</w:t>
            </w:r>
          </w:p>
          <w:p w14:paraId="6D40940D">
            <w:pPr>
              <w:spacing w:line="360" w:lineRule="auto"/>
              <w:rPr>
                <w:rFonts w:hint="eastAsia" w:ascii="宋体" w:hAnsi="宋体" w:cs="宋体"/>
                <w:szCs w:val="22"/>
              </w:rPr>
            </w:pPr>
            <w:r>
              <w:rPr>
                <w:rFonts w:hint="eastAsia" w:ascii="宋体" w:hAnsi="宋体" w:cs="宋体"/>
                <w:szCs w:val="22"/>
                <w:lang w:val="en-US" w:eastAsia="zh-CN"/>
              </w:rPr>
              <w:t>5</w:t>
            </w:r>
            <w:r>
              <w:rPr>
                <w:rFonts w:hint="eastAsia" w:ascii="宋体" w:hAnsi="宋体" w:cs="宋体"/>
                <w:szCs w:val="22"/>
              </w:rPr>
              <w:t>、合同履约期间，入库单位因违法违纪、重大责任事故或被行业管理部门通报批评、整改、建议注销或处罚的，我方有权立即终止合同，取消中选人资格，并保留对其进一步处理的权利。</w:t>
            </w:r>
          </w:p>
          <w:p w14:paraId="583944F2">
            <w:pPr>
              <w:spacing w:line="360" w:lineRule="auto"/>
              <w:rPr>
                <w:rFonts w:ascii="宋体" w:hAnsi="宋体" w:eastAsia="宋体"/>
                <w:color w:val="auto"/>
                <w:kern w:val="0"/>
                <w:highlight w:val="none"/>
              </w:rPr>
            </w:pPr>
            <w:r>
              <w:rPr>
                <w:rFonts w:hint="eastAsia" w:ascii="宋体" w:hAnsi="宋体" w:cs="宋体"/>
                <w:szCs w:val="22"/>
                <w:lang w:val="en-US" w:eastAsia="zh-CN"/>
              </w:rPr>
              <w:t>6</w:t>
            </w:r>
            <w:r>
              <w:rPr>
                <w:rFonts w:hint="eastAsia" w:ascii="宋体" w:hAnsi="宋体" w:cs="宋体"/>
                <w:szCs w:val="22"/>
              </w:rPr>
              <w:t>、服务期满一年后，投标人主动提出退出本次服务机构库的，可以退库，但须完成</w:t>
            </w:r>
            <w:r>
              <w:rPr>
                <w:rFonts w:hint="eastAsia" w:ascii="宋体" w:hAnsi="宋体" w:cs="宋体"/>
                <w:szCs w:val="22"/>
                <w:lang w:eastAsia="zh-CN"/>
              </w:rPr>
              <w:t>服务期限内的工程</w:t>
            </w:r>
            <w:r>
              <w:rPr>
                <w:rFonts w:hint="eastAsia" w:ascii="宋体" w:hAnsi="宋体" w:cs="宋体"/>
                <w:szCs w:val="22"/>
              </w:rPr>
              <w:t>，质保期满且经采购人同意后，方可退还履约保证金。</w:t>
            </w:r>
          </w:p>
        </w:tc>
      </w:tr>
    </w:tbl>
    <w:p w14:paraId="2602F502">
      <w:pPr>
        <w:shd w:val="clear"/>
        <w:spacing w:after="120" w:line="360" w:lineRule="auto"/>
        <w:rPr>
          <w:rFonts w:ascii="宋体" w:hAnsi="宋体" w:cs="宋体"/>
          <w:b/>
          <w:color w:val="auto"/>
          <w:sz w:val="28"/>
          <w:szCs w:val="28"/>
          <w:highlight w:val="none"/>
        </w:rPr>
      </w:pPr>
    </w:p>
    <w:p w14:paraId="365A2EC9">
      <w:pPr>
        <w:shd w:val="clear"/>
        <w:spacing w:after="120" w:line="360" w:lineRule="auto"/>
        <w:rPr>
          <w:rFonts w:ascii="宋体" w:hAnsi="宋体" w:cs="宋体"/>
          <w:b/>
          <w:color w:val="auto"/>
          <w:sz w:val="28"/>
          <w:szCs w:val="28"/>
          <w:highlight w:val="none"/>
        </w:rPr>
      </w:pPr>
    </w:p>
    <w:p w14:paraId="69A2133B">
      <w:pPr>
        <w:shd w:val="clear"/>
        <w:spacing w:after="120" w:line="360" w:lineRule="auto"/>
        <w:rPr>
          <w:rFonts w:ascii="宋体" w:hAnsi="宋体" w:cs="宋体"/>
          <w:b/>
          <w:color w:val="auto"/>
          <w:sz w:val="28"/>
          <w:szCs w:val="28"/>
          <w:highlight w:val="none"/>
        </w:rPr>
      </w:pPr>
    </w:p>
    <w:p w14:paraId="361630CD">
      <w:pPr>
        <w:pStyle w:val="13"/>
        <w:shd w:val="clear"/>
        <w:rPr>
          <w:color w:val="auto"/>
          <w:highlight w:val="none"/>
        </w:rPr>
      </w:pPr>
    </w:p>
    <w:p w14:paraId="3ECC1C9F">
      <w:pPr>
        <w:pStyle w:val="12"/>
        <w:shd w:val="clear"/>
        <w:ind w:left="420" w:hanging="420"/>
        <w:rPr>
          <w:color w:val="auto"/>
          <w:highlight w:val="none"/>
        </w:rPr>
      </w:pPr>
    </w:p>
    <w:p w14:paraId="466D5136">
      <w:pPr>
        <w:pStyle w:val="12"/>
        <w:shd w:val="clear"/>
        <w:ind w:left="420" w:hanging="420"/>
        <w:rPr>
          <w:color w:val="auto"/>
          <w:highlight w:val="none"/>
        </w:rPr>
      </w:pPr>
    </w:p>
    <w:p w14:paraId="55366302">
      <w:pPr>
        <w:pStyle w:val="12"/>
        <w:shd w:val="clear"/>
        <w:ind w:left="420" w:hanging="420"/>
        <w:rPr>
          <w:color w:val="auto"/>
          <w:highlight w:val="none"/>
        </w:rPr>
      </w:pPr>
    </w:p>
    <w:p w14:paraId="1AEA16E5">
      <w:pPr>
        <w:pStyle w:val="12"/>
        <w:shd w:val="clear"/>
        <w:ind w:left="420" w:hanging="420"/>
        <w:rPr>
          <w:color w:val="auto"/>
          <w:highlight w:val="none"/>
        </w:rPr>
      </w:pPr>
    </w:p>
    <w:p w14:paraId="78E1DB34">
      <w:pPr>
        <w:pStyle w:val="12"/>
        <w:shd w:val="clear"/>
        <w:ind w:left="420" w:hanging="420"/>
        <w:rPr>
          <w:color w:val="auto"/>
          <w:highlight w:val="none"/>
        </w:rPr>
      </w:pPr>
    </w:p>
    <w:p w14:paraId="218CF74B">
      <w:pPr>
        <w:pStyle w:val="12"/>
        <w:shd w:val="clear"/>
        <w:ind w:left="420" w:hanging="420"/>
        <w:rPr>
          <w:color w:val="auto"/>
          <w:highlight w:val="none"/>
        </w:rPr>
      </w:pPr>
    </w:p>
    <w:p w14:paraId="701BD8DA">
      <w:pPr>
        <w:pStyle w:val="12"/>
        <w:shd w:val="clear"/>
        <w:ind w:left="420" w:hanging="420"/>
        <w:rPr>
          <w:color w:val="auto"/>
          <w:highlight w:val="none"/>
        </w:rPr>
      </w:pPr>
    </w:p>
    <w:p w14:paraId="0416BECC">
      <w:pPr>
        <w:pStyle w:val="12"/>
        <w:shd w:val="clear"/>
        <w:ind w:left="420" w:hanging="420"/>
        <w:rPr>
          <w:color w:val="auto"/>
          <w:highlight w:val="none"/>
        </w:rPr>
      </w:pPr>
    </w:p>
    <w:p w14:paraId="0665A2F8">
      <w:pPr>
        <w:pStyle w:val="12"/>
        <w:shd w:val="clear"/>
        <w:ind w:left="420" w:hanging="420"/>
        <w:rPr>
          <w:color w:val="auto"/>
          <w:highlight w:val="none"/>
        </w:rPr>
      </w:pPr>
    </w:p>
    <w:p w14:paraId="5CE52DB8">
      <w:pPr>
        <w:pStyle w:val="12"/>
        <w:shd w:val="clear"/>
        <w:ind w:left="420" w:hanging="420"/>
        <w:rPr>
          <w:color w:val="auto"/>
          <w:highlight w:val="none"/>
        </w:rPr>
      </w:pPr>
    </w:p>
    <w:p w14:paraId="58E956B4">
      <w:pPr>
        <w:pStyle w:val="12"/>
        <w:shd w:val="clear"/>
        <w:ind w:left="420" w:hanging="420"/>
        <w:rPr>
          <w:color w:val="auto"/>
          <w:highlight w:val="none"/>
        </w:rPr>
      </w:pPr>
    </w:p>
    <w:p w14:paraId="4F368233">
      <w:pPr>
        <w:pStyle w:val="12"/>
        <w:shd w:val="clear"/>
        <w:ind w:left="420" w:hanging="420"/>
        <w:rPr>
          <w:color w:val="auto"/>
          <w:highlight w:val="none"/>
        </w:rPr>
      </w:pPr>
    </w:p>
    <w:p w14:paraId="67CAB03C">
      <w:pPr>
        <w:pStyle w:val="12"/>
        <w:shd w:val="clear"/>
        <w:ind w:left="420" w:hanging="420"/>
        <w:rPr>
          <w:color w:val="auto"/>
          <w:highlight w:val="none"/>
        </w:rPr>
      </w:pPr>
    </w:p>
    <w:bookmarkEnd w:id="38"/>
    <w:bookmarkEnd w:id="39"/>
    <w:bookmarkEnd w:id="40"/>
    <w:bookmarkEnd w:id="41"/>
    <w:bookmarkEnd w:id="42"/>
    <w:bookmarkEnd w:id="43"/>
    <w:bookmarkEnd w:id="44"/>
    <w:p w14:paraId="6E1B85B5">
      <w:pPr>
        <w:shd w:val="clear"/>
        <w:spacing w:line="360" w:lineRule="auto"/>
        <w:jc w:val="both"/>
        <w:rPr>
          <w:rFonts w:hint="eastAsia" w:ascii="宋体" w:hAnsi="宋体" w:cs="宋体"/>
          <w:b/>
          <w:color w:val="auto"/>
          <w:highlight w:val="none"/>
        </w:rPr>
      </w:pPr>
    </w:p>
    <w:p w14:paraId="040867D5">
      <w:pPr>
        <w:shd w:val="clear"/>
        <w:spacing w:line="360" w:lineRule="auto"/>
        <w:jc w:val="center"/>
        <w:rPr>
          <w:rFonts w:hint="eastAsia" w:ascii="宋体" w:hAnsi="宋体" w:cs="宋体"/>
          <w:b/>
          <w:color w:val="auto"/>
          <w:highlight w:val="none"/>
        </w:rPr>
      </w:pPr>
    </w:p>
    <w:p w14:paraId="470D47A9">
      <w:pPr>
        <w:shd w:val="clear"/>
        <w:spacing w:line="360" w:lineRule="auto"/>
        <w:jc w:val="center"/>
        <w:rPr>
          <w:rFonts w:hint="eastAsia" w:ascii="宋体" w:hAnsi="宋体" w:cs="宋体"/>
          <w:b/>
          <w:color w:val="auto"/>
          <w:highlight w:val="none"/>
        </w:rPr>
      </w:pPr>
    </w:p>
    <w:p w14:paraId="0FFCDC34">
      <w:pPr>
        <w:shd w:val="clear"/>
        <w:spacing w:line="360" w:lineRule="auto"/>
        <w:jc w:val="center"/>
        <w:rPr>
          <w:rFonts w:hint="eastAsia" w:ascii="宋体" w:hAnsi="宋体" w:cs="宋体"/>
          <w:b/>
          <w:color w:val="auto"/>
          <w:highlight w:val="none"/>
        </w:rPr>
      </w:pPr>
    </w:p>
    <w:p w14:paraId="0A8ED6AE">
      <w:pPr>
        <w:rPr>
          <w:rFonts w:hint="eastAsia" w:ascii="宋体" w:hAnsi="宋体" w:cs="宋体"/>
          <w:b/>
          <w:color w:val="auto"/>
          <w:highlight w:val="none"/>
        </w:rPr>
      </w:pPr>
      <w:r>
        <w:rPr>
          <w:rFonts w:hint="eastAsia" w:ascii="宋体" w:hAnsi="宋体" w:cs="宋体"/>
          <w:b/>
          <w:color w:val="auto"/>
          <w:highlight w:val="none"/>
        </w:rPr>
        <w:br w:type="page"/>
      </w:r>
    </w:p>
    <w:p w14:paraId="6E03C7A9">
      <w:pPr>
        <w:shd w:val="clear"/>
        <w:spacing w:line="360" w:lineRule="auto"/>
        <w:jc w:val="center"/>
        <w:rPr>
          <w:rFonts w:ascii="宋体" w:hAnsi="宋体" w:cs="宋体"/>
          <w:b/>
          <w:bCs/>
          <w:color w:val="auto"/>
          <w:highlight w:val="none"/>
        </w:rPr>
      </w:pPr>
      <w:r>
        <w:rPr>
          <w:rFonts w:hint="eastAsia" w:ascii="宋体" w:hAnsi="宋体" w:cs="宋体"/>
          <w:b/>
          <w:color w:val="auto"/>
          <w:highlight w:val="none"/>
        </w:rPr>
        <w:t>投标人须知</w:t>
      </w:r>
    </w:p>
    <w:p w14:paraId="7C96FB7B">
      <w:pPr>
        <w:shd w:val="clear"/>
        <w:spacing w:line="360" w:lineRule="auto"/>
        <w:outlineLvl w:val="1"/>
        <w:rPr>
          <w:rFonts w:ascii="宋体" w:hAnsi="宋体" w:cs="宋体"/>
          <w:b/>
          <w:bCs/>
          <w:color w:val="auto"/>
          <w:highlight w:val="none"/>
        </w:rPr>
      </w:pPr>
      <w:bookmarkStart w:id="45" w:name="_Toc493081565"/>
      <w:bookmarkStart w:id="46" w:name="_Toc487641631"/>
      <w:bookmarkStart w:id="47" w:name="_Toc21045"/>
      <w:bookmarkStart w:id="48" w:name="_Toc487461252"/>
      <w:bookmarkStart w:id="49" w:name="_Toc1284"/>
      <w:r>
        <w:rPr>
          <w:rFonts w:hint="eastAsia" w:ascii="宋体" w:hAnsi="宋体" w:cs="宋体"/>
          <w:b/>
          <w:bCs/>
          <w:color w:val="auto"/>
          <w:highlight w:val="none"/>
        </w:rPr>
        <w:t>1. 总则</w:t>
      </w:r>
      <w:bookmarkEnd w:id="45"/>
      <w:bookmarkEnd w:id="46"/>
      <w:bookmarkEnd w:id="47"/>
      <w:bookmarkEnd w:id="48"/>
      <w:bookmarkEnd w:id="49"/>
    </w:p>
    <w:p w14:paraId="5D309AA8">
      <w:pPr>
        <w:shd w:val="clear"/>
        <w:spacing w:line="360" w:lineRule="auto"/>
        <w:ind w:firstLine="422" w:firstLineChars="200"/>
        <w:outlineLvl w:val="2"/>
        <w:rPr>
          <w:rFonts w:ascii="宋体" w:hAnsi="宋体" w:cs="宋体"/>
          <w:b/>
          <w:bCs/>
          <w:color w:val="auto"/>
          <w:highlight w:val="none"/>
        </w:rPr>
      </w:pPr>
      <w:bookmarkStart w:id="50" w:name="_Toc487461253"/>
      <w:bookmarkStart w:id="51" w:name="_Toc152042306"/>
      <w:bookmarkStart w:id="52" w:name="_Toc144974498"/>
      <w:bookmarkStart w:id="53" w:name="_Toc179632547"/>
      <w:bookmarkStart w:id="54" w:name="_Toc493081566"/>
      <w:bookmarkStart w:id="55" w:name="_Toc152045530"/>
      <w:r>
        <w:rPr>
          <w:rFonts w:hint="eastAsia" w:ascii="宋体" w:hAnsi="宋体" w:cs="宋体"/>
          <w:b/>
          <w:bCs/>
          <w:color w:val="auto"/>
          <w:highlight w:val="none"/>
        </w:rPr>
        <w:t>1.1 项目概况</w:t>
      </w:r>
      <w:bookmarkEnd w:id="50"/>
      <w:bookmarkEnd w:id="51"/>
      <w:bookmarkEnd w:id="52"/>
      <w:bookmarkEnd w:id="53"/>
      <w:bookmarkEnd w:id="54"/>
      <w:bookmarkEnd w:id="55"/>
    </w:p>
    <w:p w14:paraId="2AA96D2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1.1.1根据委托，现对本项目进行招标。</w:t>
      </w:r>
    </w:p>
    <w:p w14:paraId="55C7F5A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1.1.2 本招标项目招标人：见投标人须知前附表。</w:t>
      </w:r>
    </w:p>
    <w:p w14:paraId="25C8173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1.1.3 本标段招标代理机构：见投标人须知前附表。</w:t>
      </w:r>
    </w:p>
    <w:p w14:paraId="2D75E25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1.1.4 本招标项目名称：见投标人须知前附表。</w:t>
      </w:r>
    </w:p>
    <w:p w14:paraId="662F6C0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1.1.5 本标段服务地点：见投标人须知前附表。</w:t>
      </w:r>
    </w:p>
    <w:p w14:paraId="09028CD8">
      <w:pPr>
        <w:shd w:val="clear"/>
        <w:spacing w:line="360" w:lineRule="auto"/>
        <w:ind w:firstLine="422" w:firstLineChars="200"/>
        <w:outlineLvl w:val="2"/>
        <w:rPr>
          <w:rFonts w:ascii="宋体" w:hAnsi="宋体" w:cs="宋体"/>
          <w:b/>
          <w:bCs/>
          <w:color w:val="auto"/>
          <w:highlight w:val="none"/>
        </w:rPr>
      </w:pPr>
      <w:bookmarkStart w:id="56" w:name="_Toc152045531"/>
      <w:bookmarkStart w:id="57" w:name="_Toc493081567"/>
      <w:bookmarkStart w:id="58" w:name="_Toc144974499"/>
      <w:bookmarkStart w:id="59" w:name="_Toc152042307"/>
      <w:bookmarkStart w:id="60" w:name="_Toc487461254"/>
      <w:bookmarkStart w:id="61" w:name="_Toc179632548"/>
      <w:r>
        <w:rPr>
          <w:rFonts w:hint="eastAsia" w:ascii="宋体" w:hAnsi="宋体" w:cs="宋体"/>
          <w:b/>
          <w:bCs/>
          <w:color w:val="auto"/>
          <w:highlight w:val="none"/>
        </w:rPr>
        <w:t>1.2 资金来源和落实情况</w:t>
      </w:r>
      <w:bookmarkEnd w:id="56"/>
      <w:bookmarkEnd w:id="57"/>
      <w:bookmarkEnd w:id="58"/>
      <w:bookmarkEnd w:id="59"/>
      <w:bookmarkEnd w:id="60"/>
      <w:bookmarkEnd w:id="61"/>
    </w:p>
    <w:p w14:paraId="504A94E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 本招标项目的资金来源：见投标人须知前附表。</w:t>
      </w:r>
    </w:p>
    <w:p w14:paraId="7927B448">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1.2.2 本招标项目的出资比例：见投标人须知前附表。</w:t>
      </w:r>
    </w:p>
    <w:p w14:paraId="7561D8A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1.2.3 本招标项目的资金落实情况：见投标人须知前附表。</w:t>
      </w:r>
    </w:p>
    <w:p w14:paraId="36ABEE74">
      <w:pPr>
        <w:shd w:val="clear"/>
        <w:spacing w:line="360" w:lineRule="auto"/>
        <w:ind w:firstLine="422" w:firstLineChars="200"/>
        <w:outlineLvl w:val="2"/>
        <w:rPr>
          <w:rFonts w:hint="eastAsia" w:ascii="宋体" w:hAnsi="宋体" w:eastAsia="宋体" w:cs="宋体"/>
          <w:bCs/>
          <w:color w:val="auto"/>
          <w:highlight w:val="none"/>
          <w:lang w:eastAsia="zh-CN"/>
        </w:rPr>
      </w:pPr>
      <w:bookmarkStart w:id="62" w:name="_Toc152042308"/>
      <w:bookmarkStart w:id="63" w:name="_Toc179632549"/>
      <w:bookmarkStart w:id="64" w:name="_Toc493081568"/>
      <w:bookmarkStart w:id="65" w:name="_Toc152045532"/>
      <w:bookmarkStart w:id="66" w:name="_Toc144974500"/>
      <w:bookmarkStart w:id="67" w:name="_Toc487461255"/>
      <w:r>
        <w:rPr>
          <w:rFonts w:hint="eastAsia" w:ascii="宋体" w:hAnsi="宋体" w:cs="宋体"/>
          <w:b/>
          <w:bCs/>
          <w:color w:val="auto"/>
          <w:highlight w:val="none"/>
        </w:rPr>
        <w:t>1.3 招标范围、服务期限和</w:t>
      </w:r>
      <w:bookmarkEnd w:id="62"/>
      <w:bookmarkEnd w:id="63"/>
      <w:bookmarkEnd w:id="64"/>
      <w:bookmarkEnd w:id="65"/>
      <w:bookmarkEnd w:id="66"/>
      <w:bookmarkEnd w:id="67"/>
      <w:r>
        <w:rPr>
          <w:rFonts w:hint="eastAsia" w:ascii="宋体" w:hAnsi="宋体" w:cs="宋体"/>
          <w:b/>
          <w:bCs/>
          <w:color w:val="auto"/>
          <w:highlight w:val="none"/>
          <w:lang w:eastAsia="zh-CN"/>
        </w:rPr>
        <w:t>服务要求</w:t>
      </w:r>
    </w:p>
    <w:p w14:paraId="16A7603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1.3.1 本次招标范围：见投标人须知前附表。</w:t>
      </w:r>
    </w:p>
    <w:p w14:paraId="018E202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1.3.2 本标段的服务期限：见投标人须知前附表。</w:t>
      </w:r>
    </w:p>
    <w:p w14:paraId="5847E6A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1.3.3 本项目的</w:t>
      </w:r>
      <w:r>
        <w:rPr>
          <w:rFonts w:hint="eastAsia" w:ascii="宋体" w:hAnsi="宋体" w:cs="宋体"/>
          <w:bCs/>
          <w:color w:val="auto"/>
          <w:highlight w:val="none"/>
          <w:lang w:eastAsia="zh-CN"/>
        </w:rPr>
        <w:t>服务要求</w:t>
      </w:r>
      <w:r>
        <w:rPr>
          <w:rFonts w:hint="eastAsia" w:ascii="宋体" w:hAnsi="宋体" w:cs="宋体"/>
          <w:bCs/>
          <w:color w:val="auto"/>
          <w:highlight w:val="none"/>
        </w:rPr>
        <w:t>：见投标人须知前附表。</w:t>
      </w:r>
    </w:p>
    <w:p w14:paraId="5EB78D8E">
      <w:pPr>
        <w:shd w:val="clear"/>
        <w:spacing w:line="360" w:lineRule="auto"/>
        <w:ind w:firstLine="422" w:firstLineChars="200"/>
        <w:outlineLvl w:val="2"/>
        <w:rPr>
          <w:rFonts w:ascii="宋体" w:hAnsi="宋体" w:cs="宋体"/>
          <w:b/>
          <w:bCs/>
          <w:color w:val="auto"/>
          <w:highlight w:val="none"/>
        </w:rPr>
      </w:pPr>
      <w:bookmarkStart w:id="68" w:name="_Toc152042310"/>
      <w:bookmarkStart w:id="69" w:name="_Toc152045534"/>
      <w:bookmarkStart w:id="70" w:name="_Toc493081569"/>
      <w:bookmarkStart w:id="71" w:name="_Toc487461256"/>
      <w:bookmarkStart w:id="72" w:name="_Toc144974502"/>
      <w:bookmarkStart w:id="73" w:name="_Toc179632551"/>
      <w:r>
        <w:rPr>
          <w:rFonts w:hint="eastAsia" w:ascii="宋体" w:hAnsi="宋体" w:cs="宋体"/>
          <w:b/>
          <w:bCs/>
          <w:color w:val="auto"/>
          <w:highlight w:val="none"/>
        </w:rPr>
        <w:t>1.4 投标人资格要求</w:t>
      </w:r>
      <w:bookmarkEnd w:id="68"/>
      <w:bookmarkEnd w:id="69"/>
      <w:bookmarkEnd w:id="70"/>
      <w:bookmarkEnd w:id="71"/>
      <w:bookmarkEnd w:id="72"/>
      <w:bookmarkEnd w:id="73"/>
    </w:p>
    <w:p w14:paraId="14BE49FC">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1.4.1投标人应具备承担本项目的资质条件、能力等：见投标人须知前附表。</w:t>
      </w:r>
    </w:p>
    <w:p w14:paraId="771272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1.4.2 投标人须知前附表规定接受联合体投标的，除应符合本章第1.4.1项和投标人须知前附表的要求外，还应遵守以下规定： </w:t>
      </w:r>
    </w:p>
    <w:p w14:paraId="1981551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（1）联合体各方应按招标文件提供的格式签订联合体协议书，明确联合体牵头人和各方权利义务；</w:t>
      </w:r>
    </w:p>
    <w:p w14:paraId="44725C8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（2）由同一专业的单位组成的联合体，按照资质等级较低的单位确定资质等级； </w:t>
      </w:r>
    </w:p>
    <w:p w14:paraId="4C03CBC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（3）联合体各方不得再以自己名义单独或参加其他联合体在同一项目中投标。</w:t>
      </w:r>
    </w:p>
    <w:p w14:paraId="4E516A8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1.4.3投标人之间如果存在下列情形之一的，不得同时参加同一标段（包别）或者不分标段（包别）的同一项目投标：</w:t>
      </w:r>
    </w:p>
    <w:p w14:paraId="53CC47C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（1）法定代表人为同一个人的两个及两个以上法人；</w:t>
      </w:r>
    </w:p>
    <w:p w14:paraId="2997AE7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（2）母公司、全资子公司及其控股公司；</w:t>
      </w:r>
    </w:p>
    <w:p w14:paraId="2ED7D9B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（3）参加投标的其他组织之间存在特殊的利害关系的；</w:t>
      </w:r>
    </w:p>
    <w:p w14:paraId="1F4A5AA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（4）法律和行政法规规定的其他情形。</w:t>
      </w:r>
    </w:p>
    <w:p w14:paraId="2E5C019A">
      <w:pPr>
        <w:shd w:val="clear"/>
        <w:spacing w:line="360" w:lineRule="auto"/>
        <w:ind w:firstLine="420" w:firstLineChars="200"/>
        <w:rPr>
          <w:rFonts w:ascii="宋体" w:hAnsi="宋体" w:cs="宋体"/>
          <w:color w:val="auto"/>
          <w:highlight w:val="none"/>
        </w:rPr>
      </w:pPr>
      <w:r>
        <w:rPr>
          <w:rFonts w:hint="eastAsia" w:ascii="宋体" w:hAnsi="宋体" w:cs="宋体"/>
          <w:bCs/>
          <w:color w:val="auto"/>
          <w:highlight w:val="none"/>
        </w:rPr>
        <w:t>（5）</w:t>
      </w:r>
      <w:r>
        <w:rPr>
          <w:rFonts w:hint="eastAsia" w:ascii="宋体" w:hAnsi="宋体" w:cs="宋体"/>
          <w:color w:val="auto"/>
          <w:highlight w:val="none"/>
        </w:rPr>
        <w:t>近三年（自招标公告发布之日向前追溯三年）内在经营活动中有行贿犯罪记录的；</w:t>
      </w:r>
    </w:p>
    <w:p w14:paraId="41674A67">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（6）在安徽省境内有因违法违规、不良履约等行为而被行政主管部门做出不良行为记录且在信息公开发布期；在安徽省境内被招投标监督管理部门或行业主管部门取消投标资格且在处罚期内</w:t>
      </w:r>
    </w:p>
    <w:p w14:paraId="17F9F2C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有以上情形之一参与投标的，无论是否中标均视为弄虚作假，骗取中标行为。</w:t>
      </w:r>
    </w:p>
    <w:p w14:paraId="7A30E234">
      <w:pPr>
        <w:shd w:val="clear"/>
        <w:spacing w:line="360" w:lineRule="auto"/>
        <w:ind w:firstLine="422" w:firstLineChars="200"/>
        <w:outlineLvl w:val="2"/>
        <w:rPr>
          <w:rFonts w:ascii="宋体" w:hAnsi="宋体" w:cs="宋体"/>
          <w:b/>
          <w:bCs/>
          <w:color w:val="auto"/>
          <w:highlight w:val="none"/>
        </w:rPr>
      </w:pPr>
      <w:bookmarkStart w:id="74" w:name="_Toc179632552"/>
      <w:bookmarkStart w:id="75" w:name="_Toc493081570"/>
      <w:bookmarkStart w:id="76" w:name="_Toc144974503"/>
      <w:bookmarkStart w:id="77" w:name="_Toc152042311"/>
      <w:bookmarkStart w:id="78" w:name="_Toc152045535"/>
      <w:bookmarkStart w:id="79" w:name="_Toc487461257"/>
      <w:r>
        <w:rPr>
          <w:rFonts w:hint="eastAsia" w:ascii="宋体" w:hAnsi="宋体" w:cs="宋体"/>
          <w:b/>
          <w:bCs/>
          <w:color w:val="auto"/>
          <w:highlight w:val="none"/>
        </w:rPr>
        <w:t>1.5 费用承担</w:t>
      </w:r>
      <w:bookmarkEnd w:id="74"/>
      <w:bookmarkEnd w:id="75"/>
      <w:bookmarkEnd w:id="76"/>
      <w:bookmarkEnd w:id="77"/>
      <w:bookmarkEnd w:id="78"/>
      <w:bookmarkEnd w:id="79"/>
    </w:p>
    <w:p w14:paraId="0350E365">
      <w:pPr>
        <w:shd w:val="clear"/>
        <w:spacing w:line="360" w:lineRule="auto"/>
        <w:ind w:firstLine="420" w:firstLineChars="200"/>
        <w:rPr>
          <w:rFonts w:ascii="宋体" w:hAnsi="宋体" w:cs="宋体"/>
          <w:bCs/>
          <w:color w:val="auto"/>
          <w:highlight w:val="none"/>
        </w:rPr>
      </w:pPr>
      <w:bookmarkStart w:id="80" w:name="_Toc144974504"/>
      <w:bookmarkStart w:id="81" w:name="_Toc179632553"/>
      <w:bookmarkStart w:id="82" w:name="_Toc152045536"/>
      <w:bookmarkStart w:id="83" w:name="_Toc152042312"/>
      <w:r>
        <w:rPr>
          <w:rFonts w:hint="eastAsia" w:ascii="宋体" w:hAnsi="宋体" w:cs="宋体"/>
          <w:bCs/>
          <w:color w:val="auto"/>
          <w:highlight w:val="none"/>
        </w:rPr>
        <w:t>1.5.1投标人准备和参加投标活动发生的费用自理。</w:t>
      </w:r>
    </w:p>
    <w:p w14:paraId="50EBC2D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1.5.2招标代理服务费：见投标人须知前附表。</w:t>
      </w:r>
    </w:p>
    <w:p w14:paraId="19002346">
      <w:pPr>
        <w:shd w:val="clear"/>
        <w:spacing w:line="360" w:lineRule="auto"/>
        <w:ind w:firstLine="422" w:firstLineChars="200"/>
        <w:outlineLvl w:val="2"/>
        <w:rPr>
          <w:rFonts w:ascii="宋体" w:hAnsi="宋体" w:cs="宋体"/>
          <w:b/>
          <w:bCs/>
          <w:color w:val="auto"/>
          <w:highlight w:val="none"/>
        </w:rPr>
      </w:pPr>
      <w:bookmarkStart w:id="84" w:name="_Toc487461258"/>
      <w:bookmarkStart w:id="85" w:name="_Toc493081571"/>
      <w:r>
        <w:rPr>
          <w:rFonts w:hint="eastAsia" w:ascii="宋体" w:hAnsi="宋体" w:cs="宋体"/>
          <w:b/>
          <w:bCs/>
          <w:color w:val="auto"/>
          <w:highlight w:val="none"/>
        </w:rPr>
        <w:t>1.6 保密</w:t>
      </w:r>
      <w:bookmarkEnd w:id="80"/>
      <w:bookmarkEnd w:id="81"/>
      <w:bookmarkEnd w:id="82"/>
      <w:bookmarkEnd w:id="83"/>
      <w:bookmarkEnd w:id="84"/>
      <w:bookmarkEnd w:id="85"/>
    </w:p>
    <w:p w14:paraId="4FD9A64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参与招标投标活动的各方应对招标文件和投标文件中的商业和技术等秘密保密，违者应对由此造成的后果承担法律责任。 </w:t>
      </w:r>
    </w:p>
    <w:p w14:paraId="44C55377">
      <w:pPr>
        <w:shd w:val="clear"/>
        <w:spacing w:line="360" w:lineRule="auto"/>
        <w:ind w:firstLine="422" w:firstLineChars="200"/>
        <w:outlineLvl w:val="2"/>
        <w:rPr>
          <w:rFonts w:ascii="宋体" w:hAnsi="宋体" w:cs="宋体"/>
          <w:b/>
          <w:bCs/>
          <w:color w:val="auto"/>
          <w:highlight w:val="none"/>
        </w:rPr>
      </w:pPr>
      <w:bookmarkStart w:id="86" w:name="_Toc144974505"/>
      <w:bookmarkStart w:id="87" w:name="_Toc179632554"/>
      <w:bookmarkStart w:id="88" w:name="_Toc152042313"/>
      <w:bookmarkStart w:id="89" w:name="_Toc487461259"/>
      <w:bookmarkStart w:id="90" w:name="_Toc493081572"/>
      <w:bookmarkStart w:id="91" w:name="_Toc152045537"/>
      <w:r>
        <w:rPr>
          <w:rFonts w:hint="eastAsia" w:ascii="宋体" w:hAnsi="宋体" w:cs="宋体"/>
          <w:b/>
          <w:bCs/>
          <w:color w:val="auto"/>
          <w:highlight w:val="none"/>
        </w:rPr>
        <w:t>1.7 语言</w:t>
      </w:r>
      <w:bookmarkEnd w:id="86"/>
      <w:r>
        <w:rPr>
          <w:rFonts w:hint="eastAsia" w:ascii="宋体" w:hAnsi="宋体" w:cs="宋体"/>
          <w:b/>
          <w:bCs/>
          <w:color w:val="auto"/>
          <w:highlight w:val="none"/>
        </w:rPr>
        <w:t>文字</w:t>
      </w:r>
      <w:bookmarkEnd w:id="87"/>
      <w:bookmarkEnd w:id="88"/>
      <w:bookmarkEnd w:id="89"/>
      <w:bookmarkEnd w:id="90"/>
      <w:bookmarkEnd w:id="91"/>
    </w:p>
    <w:p w14:paraId="61880B7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除专用术语外，与招标投标有关的语言均使用中文。必要时专用术语应附有中文注释。</w:t>
      </w:r>
    </w:p>
    <w:p w14:paraId="31DB8F2A">
      <w:pPr>
        <w:shd w:val="clear"/>
        <w:spacing w:line="360" w:lineRule="auto"/>
        <w:ind w:firstLine="422" w:firstLineChars="200"/>
        <w:outlineLvl w:val="2"/>
        <w:rPr>
          <w:rFonts w:ascii="宋体" w:hAnsi="宋体" w:cs="宋体"/>
          <w:bCs/>
          <w:color w:val="auto"/>
          <w:highlight w:val="none"/>
        </w:rPr>
      </w:pPr>
      <w:bookmarkStart w:id="92" w:name="_Toc152042314"/>
      <w:bookmarkStart w:id="93" w:name="_Toc144974506"/>
      <w:bookmarkStart w:id="94" w:name="_Toc493081573"/>
      <w:bookmarkStart w:id="95" w:name="_Toc179632555"/>
      <w:bookmarkStart w:id="96" w:name="_Toc487461260"/>
      <w:bookmarkStart w:id="97" w:name="_Toc152045538"/>
      <w:r>
        <w:rPr>
          <w:rFonts w:hint="eastAsia" w:ascii="宋体" w:hAnsi="宋体" w:cs="宋体"/>
          <w:b/>
          <w:bCs/>
          <w:color w:val="auto"/>
          <w:highlight w:val="none"/>
        </w:rPr>
        <w:t>1.8 计量单位</w:t>
      </w:r>
      <w:bookmarkEnd w:id="92"/>
      <w:bookmarkEnd w:id="93"/>
      <w:bookmarkEnd w:id="94"/>
      <w:bookmarkEnd w:id="95"/>
      <w:bookmarkEnd w:id="96"/>
      <w:bookmarkEnd w:id="97"/>
    </w:p>
    <w:p w14:paraId="563553A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所有计量均采用中华人民共和国法定计量单位。</w:t>
      </w:r>
    </w:p>
    <w:p w14:paraId="6AE72780">
      <w:pPr>
        <w:shd w:val="clear"/>
        <w:spacing w:line="360" w:lineRule="auto"/>
        <w:ind w:firstLine="422" w:firstLineChars="200"/>
        <w:outlineLvl w:val="2"/>
        <w:rPr>
          <w:rFonts w:ascii="宋体" w:hAnsi="宋体" w:cs="宋体"/>
          <w:b/>
          <w:bCs/>
          <w:color w:val="auto"/>
          <w:highlight w:val="none"/>
        </w:rPr>
      </w:pPr>
      <w:bookmarkStart w:id="98" w:name="_Toc152045539"/>
      <w:bookmarkStart w:id="99" w:name="_Toc487461261"/>
      <w:bookmarkStart w:id="100" w:name="_Toc493081574"/>
      <w:bookmarkStart w:id="101" w:name="_Toc144974507"/>
      <w:bookmarkStart w:id="102" w:name="_Toc179632556"/>
      <w:bookmarkStart w:id="103" w:name="_Toc152042315"/>
      <w:r>
        <w:rPr>
          <w:rFonts w:hint="eastAsia" w:ascii="宋体" w:hAnsi="宋体" w:cs="宋体"/>
          <w:b/>
          <w:bCs/>
          <w:color w:val="auto"/>
          <w:highlight w:val="none"/>
        </w:rPr>
        <w:t>1.9 踏勘现场</w:t>
      </w:r>
      <w:bookmarkEnd w:id="98"/>
      <w:bookmarkEnd w:id="99"/>
      <w:bookmarkEnd w:id="100"/>
      <w:bookmarkEnd w:id="101"/>
      <w:bookmarkEnd w:id="102"/>
      <w:bookmarkEnd w:id="103"/>
    </w:p>
    <w:p w14:paraId="2D062E5C">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1.9.1 投标人须知前附表规定组织踏勘现场的，招标人按投标人须知前附表规定的时间、地点组织投标人踏勘项目现场。 </w:t>
      </w:r>
    </w:p>
    <w:p w14:paraId="4FEB377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1.9.2 投标人踏勘现场发生的费用自理。</w:t>
      </w:r>
    </w:p>
    <w:p w14:paraId="79CE72E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1.9.3 除招标人的原因外，投标人自行负责在踏勘现场中所发生的人员伤亡和财产损失等。</w:t>
      </w:r>
    </w:p>
    <w:p w14:paraId="7C443BD4">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1.9.4 招标人在踏勘现场中介绍的物业管理区内场地和相关的周边环境情况，供投标人在编制投标文件时参考，招标人不对投标人据此作出的判断和决策负责。</w:t>
      </w:r>
    </w:p>
    <w:p w14:paraId="71A995FC">
      <w:pPr>
        <w:shd w:val="clear"/>
        <w:spacing w:line="360" w:lineRule="auto"/>
        <w:ind w:firstLine="422" w:firstLineChars="200"/>
        <w:outlineLvl w:val="2"/>
        <w:rPr>
          <w:rFonts w:ascii="宋体" w:hAnsi="宋体" w:cs="宋体"/>
          <w:b/>
          <w:bCs/>
          <w:color w:val="auto"/>
          <w:highlight w:val="none"/>
        </w:rPr>
      </w:pPr>
      <w:bookmarkStart w:id="104" w:name="_Toc152045540"/>
      <w:bookmarkStart w:id="105" w:name="_Toc179632557"/>
      <w:bookmarkStart w:id="106" w:name="_Toc152042316"/>
      <w:bookmarkStart w:id="107" w:name="_Toc144974508"/>
      <w:bookmarkStart w:id="108" w:name="_Toc487461262"/>
      <w:bookmarkStart w:id="109" w:name="_Toc493081575"/>
      <w:r>
        <w:rPr>
          <w:rFonts w:hint="eastAsia" w:ascii="宋体" w:hAnsi="宋体" w:cs="宋体"/>
          <w:b/>
          <w:bCs/>
          <w:color w:val="auto"/>
          <w:highlight w:val="none"/>
        </w:rPr>
        <w:t>1.10</w:t>
      </w:r>
      <w:bookmarkEnd w:id="104"/>
      <w:bookmarkEnd w:id="105"/>
      <w:bookmarkEnd w:id="106"/>
      <w:bookmarkEnd w:id="107"/>
      <w:bookmarkStart w:id="110" w:name="_Toc152042317"/>
      <w:bookmarkStart w:id="111" w:name="_Toc179632558"/>
      <w:bookmarkStart w:id="112" w:name="_Toc152045541"/>
      <w:bookmarkStart w:id="113" w:name="_Toc144974509"/>
      <w:r>
        <w:rPr>
          <w:rFonts w:hint="eastAsia" w:ascii="宋体" w:hAnsi="宋体" w:cs="宋体"/>
          <w:b/>
          <w:bCs/>
          <w:color w:val="auto"/>
          <w:highlight w:val="none"/>
        </w:rPr>
        <w:t xml:space="preserve"> 投标预备会</w:t>
      </w:r>
      <w:bookmarkEnd w:id="108"/>
      <w:bookmarkEnd w:id="109"/>
    </w:p>
    <w:p w14:paraId="7E9181B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1.10.1 投标人须知前附表规定召开投标预备会的，招标人按投标人须知前附表规定的时间和地点召开投标预备会，澄清投标人提出的问题。</w:t>
      </w:r>
    </w:p>
    <w:p w14:paraId="3C1D746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1.10.2 投标人应在投标人须知前附表规定的时间前，以书面形式将提出的问题送达招标人，以便招标人在会议期间澄清。</w:t>
      </w:r>
    </w:p>
    <w:p w14:paraId="6BDE153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1.10.3 投标预备会后，招标人在投标人须知前附表规定的时间内，将对投标人所提问题的澄清，以书面方式通知所有购买招标文件的投标人或在发布招标公告的网站发布。该澄清内容为招标文件的组成部分。</w:t>
      </w:r>
    </w:p>
    <w:p w14:paraId="333D5EEA">
      <w:pPr>
        <w:shd w:val="clear"/>
        <w:spacing w:line="360" w:lineRule="auto"/>
        <w:ind w:firstLine="422" w:firstLineChars="200"/>
        <w:outlineLvl w:val="2"/>
        <w:rPr>
          <w:rFonts w:ascii="宋体" w:hAnsi="宋体" w:cs="宋体"/>
          <w:b/>
          <w:bCs/>
          <w:color w:val="auto"/>
          <w:highlight w:val="none"/>
        </w:rPr>
      </w:pPr>
      <w:bookmarkStart w:id="114" w:name="_Toc493081576"/>
      <w:bookmarkStart w:id="115" w:name="_Toc487461263"/>
      <w:r>
        <w:rPr>
          <w:rFonts w:hint="eastAsia" w:ascii="宋体" w:hAnsi="宋体" w:cs="宋体"/>
          <w:b/>
          <w:bCs/>
          <w:color w:val="auto"/>
          <w:highlight w:val="none"/>
        </w:rPr>
        <w:t>1.11 分包</w:t>
      </w:r>
      <w:bookmarkEnd w:id="110"/>
      <w:bookmarkEnd w:id="111"/>
      <w:bookmarkEnd w:id="112"/>
      <w:bookmarkEnd w:id="113"/>
      <w:bookmarkEnd w:id="114"/>
      <w:bookmarkEnd w:id="115"/>
    </w:p>
    <w:p w14:paraId="3BBE1A01">
      <w:pPr>
        <w:shd w:val="clear"/>
        <w:spacing w:line="360" w:lineRule="auto"/>
        <w:ind w:firstLine="420" w:firstLineChars="200"/>
        <w:outlineLvl w:val="2"/>
        <w:rPr>
          <w:rFonts w:ascii="宋体" w:hAnsi="宋体" w:cs="宋体"/>
          <w:color w:val="auto"/>
          <w:highlight w:val="none"/>
        </w:rPr>
      </w:pPr>
      <w:bookmarkStart w:id="116" w:name="_Toc493081577"/>
      <w:bookmarkStart w:id="117" w:name="_Toc179632559"/>
      <w:bookmarkStart w:id="118" w:name="_Toc487461264"/>
      <w:r>
        <w:rPr>
          <w:rFonts w:hint="eastAsia" w:ascii="宋体" w:hAnsi="宋体" w:cs="宋体"/>
          <w:color w:val="auto"/>
          <w:highlight w:val="none"/>
        </w:rPr>
        <w:t>不允许</w:t>
      </w:r>
      <w:bookmarkEnd w:id="116"/>
    </w:p>
    <w:p w14:paraId="0D25EF15">
      <w:pPr>
        <w:shd w:val="clear"/>
        <w:spacing w:line="360" w:lineRule="auto"/>
        <w:ind w:firstLine="422" w:firstLineChars="200"/>
        <w:outlineLvl w:val="2"/>
        <w:rPr>
          <w:rFonts w:ascii="宋体" w:hAnsi="宋体" w:cs="宋体"/>
          <w:b/>
          <w:bCs/>
          <w:color w:val="auto"/>
          <w:highlight w:val="none"/>
        </w:rPr>
      </w:pPr>
      <w:bookmarkStart w:id="119" w:name="_Toc493081578"/>
      <w:r>
        <w:rPr>
          <w:rFonts w:hint="eastAsia" w:ascii="宋体" w:hAnsi="宋体" w:cs="宋体"/>
          <w:b/>
          <w:bCs/>
          <w:color w:val="auto"/>
          <w:highlight w:val="none"/>
        </w:rPr>
        <w:t>1.12 偏离</w:t>
      </w:r>
      <w:bookmarkEnd w:id="117"/>
      <w:bookmarkEnd w:id="118"/>
      <w:bookmarkEnd w:id="119"/>
    </w:p>
    <w:p w14:paraId="2EC00095">
      <w:pPr>
        <w:shd w:val="clear"/>
        <w:spacing w:line="360" w:lineRule="auto"/>
        <w:ind w:firstLine="210" w:firstLineChars="100"/>
        <w:outlineLvl w:val="1"/>
        <w:rPr>
          <w:rFonts w:ascii="宋体" w:hAnsi="宋体" w:cs="宋体"/>
          <w:color w:val="auto"/>
          <w:highlight w:val="none"/>
        </w:rPr>
      </w:pPr>
      <w:bookmarkStart w:id="120" w:name="_Toc493081579"/>
      <w:bookmarkStart w:id="121" w:name="_Toc144974510"/>
      <w:bookmarkStart w:id="122" w:name="_Toc152045542"/>
      <w:bookmarkStart w:id="123" w:name="_Toc3468"/>
      <w:bookmarkStart w:id="124" w:name="_Toc152042318"/>
      <w:bookmarkStart w:id="125" w:name="_Toc15381"/>
      <w:bookmarkStart w:id="126" w:name="_Toc179632560"/>
      <w:bookmarkStart w:id="127" w:name="_Toc487641632"/>
      <w:bookmarkStart w:id="128" w:name="_Toc487461265"/>
      <w:r>
        <w:rPr>
          <w:rFonts w:hint="eastAsia" w:ascii="宋体" w:hAnsi="宋体" w:cs="宋体"/>
          <w:color w:val="auto"/>
          <w:highlight w:val="none"/>
        </w:rPr>
        <w:t xml:space="preserve">  不允许</w:t>
      </w:r>
      <w:bookmarkEnd w:id="120"/>
      <w:bookmarkStart w:id="129" w:name="_Toc493081580"/>
    </w:p>
    <w:p w14:paraId="3699DD63">
      <w:pPr>
        <w:shd w:val="clear"/>
        <w:spacing w:line="360" w:lineRule="auto"/>
        <w:ind w:firstLine="211" w:firstLineChars="100"/>
        <w:outlineLvl w:val="1"/>
        <w:rPr>
          <w:rFonts w:ascii="宋体" w:hAnsi="宋体" w:cs="宋体"/>
          <w:b/>
          <w:bCs/>
          <w:color w:val="auto"/>
          <w:highlight w:val="none"/>
        </w:rPr>
      </w:pPr>
      <w:r>
        <w:rPr>
          <w:rFonts w:hint="eastAsia" w:ascii="宋体" w:hAnsi="宋体" w:cs="宋体"/>
          <w:b/>
          <w:bCs/>
          <w:color w:val="auto"/>
          <w:highlight w:val="none"/>
        </w:rPr>
        <w:t>2. 招标文件</w:t>
      </w:r>
      <w:bookmarkEnd w:id="121"/>
      <w:bookmarkEnd w:id="122"/>
      <w:bookmarkEnd w:id="123"/>
      <w:bookmarkEnd w:id="124"/>
      <w:bookmarkEnd w:id="125"/>
      <w:bookmarkEnd w:id="126"/>
      <w:bookmarkEnd w:id="127"/>
      <w:bookmarkEnd w:id="128"/>
      <w:bookmarkEnd w:id="129"/>
    </w:p>
    <w:p w14:paraId="04AF6E2D">
      <w:pPr>
        <w:shd w:val="clear"/>
        <w:spacing w:line="360" w:lineRule="auto"/>
        <w:ind w:firstLine="422" w:firstLineChars="200"/>
        <w:outlineLvl w:val="2"/>
        <w:rPr>
          <w:rFonts w:ascii="宋体" w:hAnsi="宋体" w:cs="宋体"/>
          <w:b/>
          <w:bCs/>
          <w:color w:val="auto"/>
          <w:highlight w:val="none"/>
        </w:rPr>
      </w:pPr>
      <w:bookmarkStart w:id="130" w:name="_Toc179632561"/>
      <w:bookmarkStart w:id="131" w:name="_Toc493081581"/>
      <w:bookmarkStart w:id="132" w:name="_Toc487461266"/>
      <w:bookmarkStart w:id="133" w:name="_Toc144974511"/>
      <w:bookmarkStart w:id="134" w:name="_Toc152045543"/>
      <w:bookmarkStart w:id="135" w:name="_Toc152042319"/>
      <w:r>
        <w:rPr>
          <w:rFonts w:hint="eastAsia" w:ascii="宋体" w:hAnsi="宋体" w:cs="宋体"/>
          <w:b/>
          <w:bCs/>
          <w:color w:val="auto"/>
          <w:highlight w:val="none"/>
        </w:rPr>
        <w:t>2.1 招标文件的组成</w:t>
      </w:r>
      <w:bookmarkEnd w:id="130"/>
      <w:bookmarkEnd w:id="131"/>
      <w:bookmarkEnd w:id="132"/>
      <w:bookmarkEnd w:id="133"/>
      <w:bookmarkEnd w:id="134"/>
      <w:bookmarkEnd w:id="135"/>
    </w:p>
    <w:p w14:paraId="5522C1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本招标文件包括：</w:t>
      </w:r>
    </w:p>
    <w:p w14:paraId="7DB7D4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（1）招标公告；</w:t>
      </w:r>
    </w:p>
    <w:p w14:paraId="0D6EBDA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（2）投标人须知；</w:t>
      </w:r>
    </w:p>
    <w:p w14:paraId="10C00591">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（3）评标办法；</w:t>
      </w:r>
    </w:p>
    <w:p w14:paraId="18BCFE6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（4）合同条款及格式；</w:t>
      </w:r>
    </w:p>
    <w:p w14:paraId="546F2FF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（5）投标文件格式；</w:t>
      </w:r>
    </w:p>
    <w:p w14:paraId="66BEAAC0">
      <w:pPr>
        <w:shd w:val="clear"/>
        <w:spacing w:line="360" w:lineRule="auto"/>
        <w:ind w:firstLine="420" w:firstLineChars="200"/>
        <w:rPr>
          <w:rFonts w:ascii="宋体" w:hAnsi="宋体" w:cs="宋体"/>
          <w:bCs/>
          <w:color w:val="auto"/>
          <w:highlight w:val="none"/>
        </w:rPr>
      </w:pPr>
      <w:bookmarkStart w:id="136" w:name="_Toc152042320"/>
      <w:bookmarkStart w:id="137" w:name="_Toc144974512"/>
      <w:bookmarkStart w:id="138" w:name="_Toc152045544"/>
      <w:bookmarkStart w:id="139" w:name="_Toc179632562"/>
      <w:bookmarkStart w:id="140" w:name="_Toc179632564"/>
      <w:bookmarkStart w:id="141" w:name="_Toc144974514"/>
      <w:bookmarkStart w:id="142" w:name="_Toc152045546"/>
      <w:bookmarkStart w:id="143" w:name="_Toc152042322"/>
      <w:r>
        <w:rPr>
          <w:rFonts w:hint="eastAsia" w:ascii="宋体" w:hAnsi="宋体" w:cs="宋体"/>
          <w:bCs/>
          <w:color w:val="auto"/>
          <w:highlight w:val="none"/>
        </w:rPr>
        <w:t xml:space="preserve"> 根据本章第1.10款、第2.2款、第2.3款是对招标文件所作的澄清、修改，构成招标文件的组成部分， 招标文件及招标文件的澄清、修改前后不一致的，以最后发出的为准。</w:t>
      </w:r>
    </w:p>
    <w:p w14:paraId="2F02D53D">
      <w:pPr>
        <w:shd w:val="clear"/>
        <w:spacing w:line="360" w:lineRule="auto"/>
        <w:ind w:firstLine="422" w:firstLineChars="200"/>
        <w:outlineLvl w:val="2"/>
        <w:rPr>
          <w:rFonts w:ascii="宋体" w:hAnsi="宋体" w:cs="宋体"/>
          <w:b/>
          <w:bCs/>
          <w:color w:val="auto"/>
          <w:highlight w:val="none"/>
        </w:rPr>
      </w:pPr>
      <w:bookmarkStart w:id="144" w:name="_Toc487461267"/>
      <w:bookmarkStart w:id="145" w:name="_Toc493081582"/>
      <w:r>
        <w:rPr>
          <w:rFonts w:hint="eastAsia" w:ascii="宋体" w:hAnsi="宋体" w:cs="宋体"/>
          <w:b/>
          <w:bCs/>
          <w:color w:val="auto"/>
          <w:highlight w:val="none"/>
        </w:rPr>
        <w:t>2.2 招标文件的</w:t>
      </w:r>
      <w:bookmarkEnd w:id="136"/>
      <w:bookmarkEnd w:id="137"/>
      <w:bookmarkEnd w:id="138"/>
      <w:bookmarkEnd w:id="139"/>
      <w:r>
        <w:rPr>
          <w:rFonts w:hint="eastAsia" w:ascii="宋体" w:hAnsi="宋体" w:cs="宋体"/>
          <w:b/>
          <w:bCs/>
          <w:color w:val="auto"/>
          <w:highlight w:val="none"/>
        </w:rPr>
        <w:t>异议答复</w:t>
      </w:r>
      <w:bookmarkEnd w:id="144"/>
      <w:bookmarkEnd w:id="145"/>
    </w:p>
    <w:p w14:paraId="481658C4">
      <w:pPr>
        <w:shd w:val="clear"/>
        <w:spacing w:line="360" w:lineRule="auto"/>
        <w:ind w:firstLine="420" w:firstLineChars="200"/>
        <w:rPr>
          <w:rFonts w:ascii="宋体" w:hAnsi="宋体" w:cs="宋体"/>
          <w:bCs/>
          <w:color w:val="auto"/>
          <w:highlight w:val="none"/>
        </w:rPr>
      </w:pPr>
      <w:bookmarkStart w:id="146" w:name="_Toc179632563"/>
      <w:bookmarkStart w:id="147" w:name="_Toc152045545"/>
      <w:bookmarkStart w:id="148" w:name="_Toc152042321"/>
      <w:bookmarkStart w:id="149" w:name="_Toc144974513"/>
      <w:r>
        <w:rPr>
          <w:rFonts w:hint="eastAsia" w:ascii="宋体" w:hAnsi="宋体" w:cs="宋体"/>
          <w:bCs/>
          <w:color w:val="auto"/>
          <w:highlight w:val="none"/>
        </w:rPr>
        <w:t>（1）见投标人须知前附表</w:t>
      </w:r>
    </w:p>
    <w:p w14:paraId="0F9B1ADB">
      <w:pPr>
        <w:shd w:val="clear"/>
        <w:spacing w:after="120" w:line="360" w:lineRule="auto"/>
        <w:ind w:firstLine="420"/>
        <w:rPr>
          <w:rFonts w:ascii="宋体" w:hAnsi="宋体" w:cs="宋体"/>
          <w:bCs/>
          <w:color w:val="auto"/>
          <w:highlight w:val="none"/>
        </w:rPr>
      </w:pPr>
      <w:r>
        <w:rPr>
          <w:rFonts w:hint="eastAsia" w:ascii="宋体" w:hAnsi="宋体" w:cs="宋体"/>
          <w:bCs/>
          <w:color w:val="auto"/>
          <w:highlight w:val="none"/>
        </w:rPr>
        <w:t>（2）投标人获取招标文件后，应仔细检查招标文件的所有内容，如有残缺等问题应在招标公告发出之日起7个工作日内提出，否则，由此引起的损失由投标人自行承担。</w:t>
      </w:r>
      <w:bookmarkStart w:id="150" w:name="_Toc493081583"/>
      <w:bookmarkStart w:id="151" w:name="_Toc487461268"/>
    </w:p>
    <w:p w14:paraId="4EE344E1">
      <w:pPr>
        <w:shd w:val="clear"/>
        <w:spacing w:after="120" w:line="360" w:lineRule="auto"/>
        <w:ind w:firstLine="420"/>
        <w:rPr>
          <w:rFonts w:ascii="宋体" w:hAnsi="宋体" w:cs="宋体"/>
          <w:b/>
          <w:bCs/>
          <w:color w:val="auto"/>
          <w:highlight w:val="none"/>
        </w:rPr>
      </w:pPr>
      <w:r>
        <w:rPr>
          <w:rFonts w:hint="eastAsia" w:ascii="宋体" w:hAnsi="宋体" w:cs="宋体"/>
          <w:b/>
          <w:bCs/>
          <w:color w:val="auto"/>
          <w:highlight w:val="none"/>
        </w:rPr>
        <w:t>2.3 招标文件的澄清及修改</w:t>
      </w:r>
      <w:bookmarkEnd w:id="146"/>
      <w:bookmarkEnd w:id="147"/>
      <w:bookmarkEnd w:id="148"/>
      <w:bookmarkEnd w:id="149"/>
      <w:bookmarkEnd w:id="150"/>
      <w:bookmarkEnd w:id="151"/>
    </w:p>
    <w:p w14:paraId="4D53CCFE">
      <w:pPr>
        <w:shd w:val="clear"/>
        <w:spacing w:after="120" w:line="360" w:lineRule="auto"/>
        <w:ind w:firstLine="420"/>
        <w:rPr>
          <w:rFonts w:ascii="宋体" w:hAnsi="宋体" w:cs="宋体"/>
          <w:bCs/>
          <w:color w:val="auto"/>
          <w:highlight w:val="none"/>
        </w:rPr>
      </w:pPr>
      <w:r>
        <w:rPr>
          <w:rFonts w:hint="eastAsia" w:ascii="宋体" w:hAnsi="宋体" w:cs="宋体"/>
          <w:bCs/>
          <w:color w:val="auto"/>
          <w:highlight w:val="none"/>
        </w:rPr>
        <w:t>见投标人须知前附表</w:t>
      </w:r>
      <w:bookmarkStart w:id="152" w:name="_Toc487641633"/>
      <w:bookmarkStart w:id="153" w:name="_Toc4341"/>
      <w:bookmarkStart w:id="154" w:name="_Toc487461269"/>
      <w:bookmarkStart w:id="155" w:name="_Toc493081584"/>
      <w:bookmarkStart w:id="156" w:name="_Toc8528"/>
    </w:p>
    <w:p w14:paraId="7D92ACBE">
      <w:pPr>
        <w:shd w:val="clear"/>
        <w:spacing w:after="120" w:line="360" w:lineRule="auto"/>
        <w:rPr>
          <w:rFonts w:ascii="宋体" w:hAnsi="宋体" w:cs="宋体"/>
          <w:b/>
          <w:bCs/>
          <w:color w:val="auto"/>
          <w:highlight w:val="none"/>
        </w:rPr>
      </w:pPr>
      <w:r>
        <w:rPr>
          <w:rFonts w:hint="eastAsia" w:ascii="宋体" w:hAnsi="宋体" w:cs="宋体"/>
          <w:b/>
          <w:bCs/>
          <w:color w:val="auto"/>
          <w:highlight w:val="none"/>
        </w:rPr>
        <w:t>3. 投标文件</w:t>
      </w:r>
      <w:bookmarkEnd w:id="140"/>
      <w:bookmarkEnd w:id="141"/>
      <w:bookmarkEnd w:id="142"/>
      <w:bookmarkEnd w:id="143"/>
      <w:bookmarkEnd w:id="152"/>
      <w:bookmarkEnd w:id="153"/>
      <w:bookmarkEnd w:id="154"/>
      <w:bookmarkEnd w:id="155"/>
      <w:bookmarkEnd w:id="156"/>
    </w:p>
    <w:p w14:paraId="59FC4107">
      <w:pPr>
        <w:shd w:val="clear"/>
        <w:spacing w:line="360" w:lineRule="auto"/>
        <w:ind w:firstLine="422" w:firstLineChars="200"/>
        <w:outlineLvl w:val="2"/>
        <w:rPr>
          <w:rFonts w:ascii="宋体" w:hAnsi="宋体" w:cs="宋体"/>
          <w:b/>
          <w:bCs/>
          <w:color w:val="auto"/>
          <w:highlight w:val="none"/>
        </w:rPr>
      </w:pPr>
      <w:bookmarkStart w:id="157" w:name="_Toc487461270"/>
      <w:bookmarkStart w:id="158" w:name="_Toc493081585"/>
      <w:r>
        <w:rPr>
          <w:rFonts w:hint="eastAsia" w:ascii="宋体" w:hAnsi="宋体" w:cs="宋体"/>
          <w:b/>
          <w:bCs/>
          <w:color w:val="auto"/>
          <w:highlight w:val="none"/>
        </w:rPr>
        <w:t>3.1投标文件的组成</w:t>
      </w:r>
      <w:bookmarkEnd w:id="157"/>
      <w:bookmarkEnd w:id="158"/>
    </w:p>
    <w:p w14:paraId="521B63D2">
      <w:pPr>
        <w:shd w:val="clear"/>
        <w:spacing w:line="360" w:lineRule="auto"/>
        <w:ind w:firstLine="420" w:firstLineChars="200"/>
        <w:rPr>
          <w:rFonts w:hint="default" w:ascii="宋体" w:hAnsi="宋体" w:eastAsia="宋体" w:cs="宋体"/>
          <w:bCs/>
          <w:color w:val="auto"/>
          <w:highlight w:val="none"/>
          <w:lang w:val="en-US" w:eastAsia="zh-CN"/>
        </w:rPr>
      </w:pPr>
      <w:bookmarkStart w:id="159" w:name="_Toc144974515"/>
      <w:bookmarkStart w:id="160" w:name="_Toc152045547"/>
      <w:bookmarkStart w:id="161" w:name="_Toc179632565"/>
      <w:bookmarkStart w:id="162" w:name="_Toc152042323"/>
      <w:r>
        <w:rPr>
          <w:rFonts w:hint="eastAsia" w:ascii="宋体" w:hAnsi="宋体" w:cs="宋体"/>
          <w:bCs/>
          <w:color w:val="auto"/>
          <w:highlight w:val="none"/>
        </w:rPr>
        <w:t>3.1.1 投标文件的组成</w:t>
      </w:r>
      <w:bookmarkEnd w:id="159"/>
      <w:bookmarkEnd w:id="160"/>
      <w:bookmarkEnd w:id="161"/>
      <w:bookmarkEnd w:id="162"/>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详见第六章 投标文件格式</w:t>
      </w:r>
    </w:p>
    <w:p w14:paraId="0694E783">
      <w:pPr>
        <w:shd w:val="clear"/>
        <w:spacing w:line="360" w:lineRule="auto"/>
        <w:ind w:firstLine="422" w:firstLineChars="200"/>
        <w:outlineLvl w:val="2"/>
        <w:rPr>
          <w:rFonts w:ascii="宋体" w:hAnsi="宋体" w:cs="宋体"/>
          <w:b/>
          <w:bCs/>
          <w:color w:val="auto"/>
          <w:highlight w:val="none"/>
        </w:rPr>
      </w:pPr>
      <w:bookmarkStart w:id="163" w:name="_Toc487461273"/>
      <w:bookmarkStart w:id="164" w:name="_Toc493081588"/>
      <w:bookmarkStart w:id="165" w:name="_Toc179632569"/>
      <w:bookmarkStart w:id="166" w:name="_Toc152042327"/>
      <w:bookmarkStart w:id="167" w:name="_Toc152045551"/>
      <w:bookmarkStart w:id="168" w:name="_Toc144974519"/>
      <w:r>
        <w:rPr>
          <w:rFonts w:hint="eastAsia" w:ascii="宋体" w:hAnsi="宋体" w:cs="宋体"/>
          <w:b/>
          <w:bCs/>
          <w:color w:val="auto"/>
          <w:highlight w:val="none"/>
        </w:rPr>
        <w:t>3.4 投标保证金</w:t>
      </w:r>
      <w:bookmarkEnd w:id="163"/>
      <w:bookmarkEnd w:id="164"/>
      <w:r>
        <w:rPr>
          <w:rFonts w:hint="eastAsia" w:ascii="宋体" w:hAnsi="宋体" w:cs="宋体"/>
          <w:b/>
          <w:bCs/>
          <w:color w:val="auto"/>
          <w:highlight w:val="none"/>
        </w:rPr>
        <w:t>（</w:t>
      </w:r>
      <w:r>
        <w:rPr>
          <w:rFonts w:hint="eastAsia" w:ascii="宋体" w:hAnsi="宋体" w:cs="宋体"/>
          <w:b/>
          <w:bCs/>
          <w:color w:val="auto"/>
          <w:highlight w:val="none"/>
          <w:lang w:val="en-US" w:eastAsia="zh-CN"/>
        </w:rPr>
        <w:t>本项目不适用</w:t>
      </w:r>
      <w:r>
        <w:rPr>
          <w:rFonts w:hint="eastAsia" w:ascii="宋体" w:hAnsi="宋体" w:cs="宋体"/>
          <w:b/>
          <w:bCs/>
          <w:color w:val="auto"/>
          <w:highlight w:val="none"/>
        </w:rPr>
        <w:t>）</w:t>
      </w:r>
    </w:p>
    <w:p w14:paraId="461CCB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3.4.1  投标人在递交投标文件的同时，应按投标人须知前附表规定的金额、担保形式递交投标保证金，并作为其投标文件的组成部分。联合体投标的，其投标保证金由牵头人递交，并应符合投标人须知前附表的规定。</w:t>
      </w:r>
    </w:p>
    <w:p w14:paraId="42C0CB7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3.4.2  投标人不按本章第3.4.1项要求提交投标保证金的，其投标文件将被否决。</w:t>
      </w:r>
    </w:p>
    <w:p w14:paraId="2654332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3.4.3  投标保证金的退还：投标人的投标保证金最迟应当在书面合同签订备案后5日内由招标代理机构代表招标人负责办理退还。</w:t>
      </w:r>
    </w:p>
    <w:p w14:paraId="2ED499F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3.4.4 有下列情形之一的，投标保证金不予退还：  </w:t>
      </w:r>
    </w:p>
    <w:p w14:paraId="6535E80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（1）投标人在规定的投标有效期内撤销或修改其投标文件；</w:t>
      </w:r>
    </w:p>
    <w:p w14:paraId="06564088">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（2）中标人在收到中标通知书后，无正当理由拒签合同协议书或未按招标文件规定提交履约保证金；</w:t>
      </w:r>
    </w:p>
    <w:p w14:paraId="0B5D1419">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（3）投标人提供虚假投标资料或虚假声明、承诺的。</w:t>
      </w:r>
    </w:p>
    <w:p w14:paraId="48424321">
      <w:pPr>
        <w:shd w:val="clear"/>
        <w:spacing w:line="360" w:lineRule="auto"/>
        <w:ind w:firstLine="422" w:firstLineChars="200"/>
        <w:outlineLvl w:val="2"/>
        <w:rPr>
          <w:rFonts w:ascii="宋体" w:hAnsi="宋体" w:cs="宋体"/>
          <w:b/>
          <w:bCs/>
          <w:color w:val="auto"/>
          <w:highlight w:val="none"/>
        </w:rPr>
      </w:pPr>
      <w:bookmarkStart w:id="169" w:name="_Toc487461274"/>
      <w:bookmarkStart w:id="170" w:name="_Toc493081589"/>
      <w:r>
        <w:rPr>
          <w:rFonts w:hint="eastAsia" w:ascii="宋体" w:hAnsi="宋体" w:cs="宋体"/>
          <w:b/>
          <w:bCs/>
          <w:color w:val="auto"/>
          <w:highlight w:val="none"/>
        </w:rPr>
        <w:t>3.5 资格审查资料</w:t>
      </w:r>
      <w:bookmarkEnd w:id="165"/>
      <w:bookmarkEnd w:id="166"/>
      <w:bookmarkEnd w:id="167"/>
      <w:bookmarkEnd w:id="168"/>
      <w:bookmarkEnd w:id="169"/>
      <w:bookmarkEnd w:id="170"/>
    </w:p>
    <w:p w14:paraId="61E0E465">
      <w:pPr>
        <w:shd w:val="clear"/>
        <w:spacing w:line="360" w:lineRule="auto"/>
        <w:ind w:firstLine="420" w:firstLineChars="200"/>
        <w:rPr>
          <w:rFonts w:hint="default" w:ascii="宋体" w:hAnsi="宋体" w:eastAsia="宋体" w:cs="宋体"/>
          <w:bCs/>
          <w:color w:val="auto"/>
          <w:highlight w:val="none"/>
          <w:lang w:val="en-US" w:eastAsia="zh-CN"/>
        </w:rPr>
      </w:pPr>
      <w:r>
        <w:rPr>
          <w:rFonts w:hint="eastAsia" w:ascii="宋体" w:hAnsi="宋体" w:cs="宋体"/>
          <w:bCs/>
          <w:color w:val="auto"/>
          <w:highlight w:val="none"/>
        </w:rPr>
        <w:t>3.5.1 资格审查材料包括：</w:t>
      </w:r>
      <w:r>
        <w:rPr>
          <w:rFonts w:hint="eastAsia" w:ascii="宋体" w:hAnsi="宋体" w:cs="宋体"/>
          <w:bCs/>
          <w:color w:val="auto"/>
          <w:highlight w:val="none"/>
          <w:lang w:val="en-US" w:eastAsia="zh-CN"/>
        </w:rPr>
        <w:t>详见招标公告。</w:t>
      </w:r>
    </w:p>
    <w:p w14:paraId="445F877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3.5.2 </w:t>
      </w:r>
      <w:r>
        <w:rPr>
          <w:rFonts w:hint="eastAsia" w:ascii="宋体" w:hAnsi="宋体" w:cs="宋体"/>
          <w:bCs/>
          <w:color w:val="auto"/>
          <w:highlight w:val="none"/>
          <w:lang w:eastAsia="zh-CN"/>
        </w:rPr>
        <w:t>其他</w:t>
      </w:r>
      <w:r>
        <w:rPr>
          <w:rFonts w:hint="eastAsia" w:ascii="宋体" w:hAnsi="宋体" w:cs="宋体"/>
          <w:bCs/>
          <w:color w:val="auto"/>
          <w:highlight w:val="none"/>
        </w:rPr>
        <w:t>要求：其他投标人资格要求见</w:t>
      </w:r>
      <w:r>
        <w:rPr>
          <w:rFonts w:hint="eastAsia" w:ascii="宋体" w:hAnsi="宋体" w:cs="宋体"/>
          <w:color w:val="auto"/>
          <w:highlight w:val="none"/>
        </w:rPr>
        <w:t>招标公告</w:t>
      </w:r>
      <w:r>
        <w:rPr>
          <w:rFonts w:hint="eastAsia" w:ascii="宋体" w:hAnsi="宋体" w:cs="宋体"/>
          <w:bCs/>
          <w:color w:val="auto"/>
          <w:highlight w:val="none"/>
        </w:rPr>
        <w:t xml:space="preserve">。   </w:t>
      </w:r>
    </w:p>
    <w:p w14:paraId="2014304D">
      <w:pPr>
        <w:shd w:val="clear"/>
        <w:spacing w:line="360" w:lineRule="auto"/>
        <w:ind w:firstLine="422" w:firstLineChars="200"/>
        <w:outlineLvl w:val="2"/>
        <w:rPr>
          <w:rFonts w:ascii="宋体" w:hAnsi="宋体" w:cs="宋体"/>
          <w:b/>
          <w:bCs/>
          <w:color w:val="auto"/>
          <w:highlight w:val="none"/>
        </w:rPr>
      </w:pPr>
      <w:bookmarkStart w:id="171" w:name="_Toc493081590"/>
      <w:bookmarkStart w:id="172" w:name="_Toc179632571"/>
      <w:bookmarkStart w:id="173" w:name="_Toc144974521"/>
      <w:bookmarkStart w:id="174" w:name="_Toc152042329"/>
      <w:bookmarkStart w:id="175" w:name="_Toc152045553"/>
      <w:bookmarkStart w:id="176" w:name="_Toc487461275"/>
      <w:r>
        <w:rPr>
          <w:rFonts w:hint="eastAsia" w:ascii="宋体" w:hAnsi="宋体" w:cs="宋体"/>
          <w:b/>
          <w:bCs/>
          <w:color w:val="auto"/>
          <w:highlight w:val="none"/>
        </w:rPr>
        <w:t>3.6 备选投标方案</w:t>
      </w:r>
      <w:bookmarkEnd w:id="171"/>
      <w:bookmarkEnd w:id="172"/>
      <w:bookmarkEnd w:id="173"/>
      <w:bookmarkEnd w:id="174"/>
      <w:bookmarkEnd w:id="175"/>
      <w:bookmarkEnd w:id="176"/>
    </w:p>
    <w:p w14:paraId="2655AB0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759101F">
      <w:pPr>
        <w:pStyle w:val="13"/>
        <w:shd w:val="clear"/>
        <w:rPr>
          <w:rFonts w:hint="eastAsia" w:ascii="宋体" w:hAnsi="宋体" w:eastAsia="宋体" w:cs="宋体"/>
          <w:color w:val="auto"/>
          <w:kern w:val="2"/>
          <w:sz w:val="21"/>
          <w:szCs w:val="21"/>
          <w:highlight w:val="none"/>
          <w:lang w:val="en-US" w:eastAsia="zh-CN" w:bidi="ar-SA"/>
        </w:rPr>
      </w:pPr>
      <w:bookmarkStart w:id="177" w:name="_Toc144974530"/>
      <w:bookmarkStart w:id="178" w:name="_Toc152042338"/>
      <w:bookmarkStart w:id="179" w:name="_Toc1780"/>
      <w:bookmarkStart w:id="180" w:name="_Toc152045562"/>
      <w:bookmarkStart w:id="181" w:name="_Toc487461285"/>
      <w:bookmarkStart w:id="182" w:name="_Toc179632580"/>
      <w:bookmarkStart w:id="183" w:name="_Toc178"/>
      <w:bookmarkStart w:id="184" w:name="_Toc487641636"/>
      <w:bookmarkStart w:id="185" w:name="_Toc493081599"/>
      <w:r>
        <w:rPr>
          <w:rFonts w:hint="eastAsia" w:ascii="宋体" w:hAnsi="宋体" w:eastAsia="宋体" w:cs="宋体"/>
          <w:color w:val="auto"/>
          <w:kern w:val="2"/>
          <w:sz w:val="21"/>
          <w:szCs w:val="21"/>
          <w:highlight w:val="none"/>
          <w:lang w:val="en-US" w:eastAsia="zh-CN" w:bidi="ar-SA"/>
        </w:rPr>
        <w:t>3.7 投标文件的编制</w:t>
      </w:r>
    </w:p>
    <w:p w14:paraId="1D03DB70">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3.7.1 本项目要求提供电子投标文件，投标文件的制作应满足以下规定： </w:t>
      </w:r>
    </w:p>
    <w:p w14:paraId="4EF8F928">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投标人必须按招标文件规定和上述主要内容编制投标文件。</w:t>
      </w:r>
    </w:p>
    <w:p w14:paraId="1013C921">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投标文件及投标人和项目招标人就招投标交换的文件和来往的信件应以中文书写。</w:t>
      </w:r>
    </w:p>
    <w:p w14:paraId="008A1975">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 因投标人自身原因而导致投标文件无法提交，该投标文件视为无效投标文件，投标人自行承担由此导致的全部责任。</w:t>
      </w:r>
    </w:p>
    <w:p w14:paraId="2745BAC4">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投标人必须用黑墨水填写或打印投标文件及有关文件。凡属对招标文件条款的误解所造成的投标文件失误，由投标人自行负责；如投标人未按招标文件要求提供全部资料或提交的投标文件未对招标文件作出全面的基本响应，那么可能导致其投标被拒绝。</w:t>
      </w:r>
    </w:p>
    <w:p w14:paraId="33E07773">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 投标文件</w:t>
      </w:r>
      <w:r>
        <w:rPr>
          <w:rFonts w:hint="eastAsia" w:ascii="宋体" w:hAnsi="宋体" w:cs="宋体"/>
          <w:color w:val="auto"/>
          <w:kern w:val="2"/>
          <w:sz w:val="21"/>
          <w:szCs w:val="21"/>
          <w:highlight w:val="none"/>
          <w:lang w:val="en-US" w:eastAsia="zh-CN" w:bidi="ar-SA"/>
        </w:rPr>
        <w:t>需要加盖</w:t>
      </w:r>
      <w:r>
        <w:rPr>
          <w:rFonts w:hint="eastAsia" w:ascii="宋体" w:hAnsi="宋体" w:eastAsia="宋体" w:cs="宋体"/>
          <w:color w:val="auto"/>
          <w:kern w:val="2"/>
          <w:sz w:val="21"/>
          <w:szCs w:val="21"/>
          <w:highlight w:val="none"/>
          <w:lang w:val="en-US" w:eastAsia="zh-CN" w:bidi="ar-SA"/>
        </w:rPr>
        <w:t>法人公章及法定代表人或其授权代表的印章</w:t>
      </w:r>
      <w:r>
        <w:rPr>
          <w:rFonts w:hint="eastAsia" w:ascii="宋体" w:hAnsi="宋体" w:cs="宋体"/>
          <w:color w:val="auto"/>
          <w:kern w:val="2"/>
          <w:sz w:val="21"/>
          <w:szCs w:val="21"/>
          <w:highlight w:val="none"/>
          <w:lang w:val="en-US" w:eastAsia="zh-CN" w:bidi="ar-SA"/>
        </w:rPr>
        <w:t>的地方如未加盖</w:t>
      </w:r>
      <w:r>
        <w:rPr>
          <w:rFonts w:hint="eastAsia" w:ascii="宋体" w:hAnsi="宋体" w:eastAsia="宋体" w:cs="宋体"/>
          <w:color w:val="auto"/>
          <w:kern w:val="2"/>
          <w:sz w:val="21"/>
          <w:szCs w:val="21"/>
          <w:highlight w:val="none"/>
          <w:lang w:val="en-US" w:eastAsia="zh-CN" w:bidi="ar-SA"/>
        </w:rPr>
        <w:t>，将被视为无效标。</w:t>
      </w:r>
    </w:p>
    <w:p w14:paraId="51B41146">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 除投标人对错处做必要修改外，投标文件中不允许有加行、涂改或改写，任何修改须单独制作修改文件，并加盖法人公章及法定代表人或授权代表的印章。</w:t>
      </w:r>
    </w:p>
    <w:p w14:paraId="07A03AE1">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在第六章“投标文件格式”中要求盖投标人签章处，投标人均应加盖投标人签章。联合体投标的，除联合体协议及联合体各成员单位提供的本单位证明材料外，投标文件由联合体牵头人按上述规定加盖联合体牵头人单位签章或公章。 </w:t>
      </w:r>
    </w:p>
    <w:p w14:paraId="4926BACC">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 开标现场提交的其他材料要求详见投标人须知前附表。</w:t>
      </w:r>
    </w:p>
    <w:p w14:paraId="408C3DFE">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3.7.2投标文件应按第六章“投标文件格式”进行编写，如有必要，可以增加附页，作为投标文件的组成部分。</w:t>
      </w:r>
    </w:p>
    <w:p w14:paraId="03503296">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3.7.3 投标文件应当对招标文件有关实质性内容作出响应。</w:t>
      </w:r>
    </w:p>
    <w:p w14:paraId="409358EA">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3.7.4投标文件应用不褪色的材料书写或打印。</w:t>
      </w:r>
    </w:p>
    <w:p w14:paraId="2AE7C421">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投标</w:t>
      </w:r>
    </w:p>
    <w:p w14:paraId="727A238E">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  投标文件的递交</w:t>
      </w:r>
      <w:r>
        <w:rPr>
          <w:rFonts w:hint="eastAsia" w:ascii="宋体" w:hAnsi="宋体" w:cs="宋体"/>
          <w:color w:val="auto"/>
          <w:kern w:val="2"/>
          <w:sz w:val="21"/>
          <w:szCs w:val="21"/>
          <w:highlight w:val="none"/>
          <w:lang w:val="en-US" w:eastAsia="zh-CN" w:bidi="ar-SA"/>
        </w:rPr>
        <w:t>（采用电子邮箱递交）</w:t>
      </w:r>
    </w:p>
    <w:p w14:paraId="71761CFF">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4.2.1投标人递交投标文件截止时间：见投标人须知前附表。</w:t>
      </w:r>
    </w:p>
    <w:p w14:paraId="0F146704">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4.2.2投标人递交投标文件的地点：见投标人须知前附表。</w:t>
      </w:r>
    </w:p>
    <w:p w14:paraId="4BCEC983">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4.2.3除投标人须知前附表另有规定外，投标人所递交的投标文件不予退还。</w:t>
      </w:r>
    </w:p>
    <w:p w14:paraId="33BEDFAF">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4.2.4逾期送达的或者未送达指定地点的投标文件，招标人不予受理。</w:t>
      </w:r>
    </w:p>
    <w:p w14:paraId="1275416A">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 投标文件的修改与撤回</w:t>
      </w:r>
    </w:p>
    <w:p w14:paraId="769D3662">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4.3.1 投标人应当在第一章“招标公告”规定的投标截止时间前，将电子版的投标文件在规定时间内提交。</w:t>
      </w:r>
    </w:p>
    <w:p w14:paraId="34F56587">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5F98382F">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4.3.3 投标人在</w:t>
      </w:r>
      <w:r>
        <w:rPr>
          <w:rFonts w:hint="eastAsia" w:ascii="宋体" w:hAnsi="宋体" w:cs="宋体"/>
          <w:color w:val="auto"/>
          <w:kern w:val="2"/>
          <w:sz w:val="21"/>
          <w:szCs w:val="21"/>
          <w:highlight w:val="none"/>
          <w:lang w:val="en-US" w:eastAsia="zh-CN" w:bidi="ar-SA"/>
        </w:rPr>
        <w:t>招标公告</w:t>
      </w:r>
      <w:r>
        <w:rPr>
          <w:rFonts w:hint="eastAsia" w:ascii="宋体" w:hAnsi="宋体" w:eastAsia="宋体" w:cs="宋体"/>
          <w:color w:val="auto"/>
          <w:kern w:val="2"/>
          <w:sz w:val="21"/>
          <w:szCs w:val="21"/>
          <w:highlight w:val="none"/>
          <w:lang w:val="en-US" w:eastAsia="zh-CN" w:bidi="ar-SA"/>
        </w:rPr>
        <w:t xml:space="preserve">规定的时间内完成电子投标文件的递交。 </w:t>
      </w:r>
    </w:p>
    <w:p w14:paraId="6A5A7604">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 开标</w:t>
      </w:r>
    </w:p>
    <w:p w14:paraId="483419A0">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 开标时间和地点</w:t>
      </w:r>
    </w:p>
    <w:p w14:paraId="5529BD35">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5.1.1 招标人和招标代理机构将按投标人须知前附表中规定的开标时间和地点组织公开开标。 </w:t>
      </w:r>
    </w:p>
    <w:p w14:paraId="5F05C017">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5.1.2 开标时，招标人或招标代理机构将对开标过程进行记录（包括投标人名称、投标价格及招标文件规定的内容），由参加开标的各投标人代表和相关工作人员签字确认，并存档备查。  </w:t>
      </w:r>
    </w:p>
    <w:p w14:paraId="5A2F95A1">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5.1.3 投标人代表对开标过程和开标记录有疑义，以及认为招标人、招标代理机构相关工作人员有需要回避的情形的，应当场提出询问或者回避申请。 </w:t>
      </w:r>
    </w:p>
    <w:p w14:paraId="5137A177">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5.2.2投标人参加开标会的要求，见投标人须知前附表。</w:t>
      </w:r>
    </w:p>
    <w:p w14:paraId="5664A0BB">
      <w:pPr>
        <w:pStyle w:val="13"/>
        <w:shd w:val="clea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5.2.3在投标截止时间前，递交投标文件的投标人数量不少于3家且少于5家时，本项目可正常开展开标工作</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招标人</w:t>
      </w:r>
      <w:r>
        <w:rPr>
          <w:rFonts w:hint="eastAsia" w:ascii="宋体" w:hAnsi="宋体" w:cs="宋体"/>
          <w:color w:val="auto"/>
          <w:kern w:val="2"/>
          <w:sz w:val="21"/>
          <w:szCs w:val="21"/>
          <w:highlight w:val="none"/>
          <w:lang w:val="en-US" w:eastAsia="zh-CN" w:bidi="ar-SA"/>
        </w:rPr>
        <w:t>也</w:t>
      </w:r>
      <w:r>
        <w:rPr>
          <w:rFonts w:hint="eastAsia" w:ascii="宋体" w:hAnsi="宋体" w:eastAsia="宋体" w:cs="宋体"/>
          <w:color w:val="auto"/>
          <w:kern w:val="2"/>
          <w:sz w:val="21"/>
          <w:szCs w:val="21"/>
          <w:highlight w:val="none"/>
          <w:lang w:val="en-US" w:eastAsia="zh-CN" w:bidi="ar-SA"/>
        </w:rPr>
        <w:t>有权根据项目实际情况选择重新组织招标。评标委员会完成资格审查、符合性审查，并实施综合评分后，将全部通过上述审查的投标人推荐为中标候选人。</w:t>
      </w:r>
    </w:p>
    <w:p w14:paraId="58D5E6D2">
      <w:pPr>
        <w:shd w:val="clear"/>
        <w:spacing w:line="360" w:lineRule="auto"/>
        <w:outlineLvl w:val="1"/>
        <w:rPr>
          <w:rFonts w:ascii="宋体" w:hAnsi="宋体" w:cs="宋体"/>
          <w:b/>
          <w:bCs/>
          <w:color w:val="auto"/>
          <w:highlight w:val="none"/>
        </w:rPr>
      </w:pPr>
      <w:r>
        <w:rPr>
          <w:rFonts w:hint="eastAsia" w:ascii="宋体" w:hAnsi="宋体" w:cs="宋体"/>
          <w:b/>
          <w:bCs/>
          <w:color w:val="auto"/>
          <w:highlight w:val="none"/>
        </w:rPr>
        <w:t>6. 评标</w:t>
      </w:r>
      <w:bookmarkEnd w:id="177"/>
      <w:bookmarkEnd w:id="178"/>
      <w:bookmarkEnd w:id="179"/>
      <w:bookmarkEnd w:id="180"/>
      <w:bookmarkEnd w:id="181"/>
      <w:bookmarkEnd w:id="182"/>
      <w:bookmarkEnd w:id="183"/>
      <w:bookmarkEnd w:id="184"/>
      <w:bookmarkEnd w:id="185"/>
    </w:p>
    <w:p w14:paraId="3B1F1A7E">
      <w:pPr>
        <w:shd w:val="clear"/>
        <w:spacing w:line="360" w:lineRule="auto"/>
        <w:ind w:firstLine="422" w:firstLineChars="200"/>
        <w:outlineLvl w:val="2"/>
        <w:rPr>
          <w:rFonts w:ascii="宋体" w:hAnsi="宋体" w:cs="宋体"/>
          <w:b/>
          <w:bCs/>
          <w:color w:val="auto"/>
          <w:highlight w:val="none"/>
        </w:rPr>
      </w:pPr>
      <w:bookmarkStart w:id="186" w:name="_Toc487461286"/>
      <w:bookmarkStart w:id="187" w:name="_Toc144974531"/>
      <w:bookmarkStart w:id="188" w:name="_Toc179632581"/>
      <w:bookmarkStart w:id="189" w:name="_Toc152042339"/>
      <w:bookmarkStart w:id="190" w:name="_Toc152045563"/>
      <w:bookmarkStart w:id="191" w:name="_Toc493081600"/>
      <w:r>
        <w:rPr>
          <w:rFonts w:hint="eastAsia" w:ascii="宋体" w:hAnsi="宋体" w:cs="宋体"/>
          <w:b/>
          <w:bCs/>
          <w:color w:val="auto"/>
          <w:highlight w:val="none"/>
        </w:rPr>
        <w:t>6.1 评标委员会</w:t>
      </w:r>
      <w:bookmarkEnd w:id="186"/>
      <w:bookmarkEnd w:id="187"/>
      <w:bookmarkEnd w:id="188"/>
      <w:bookmarkEnd w:id="189"/>
      <w:bookmarkEnd w:id="190"/>
      <w:bookmarkEnd w:id="191"/>
    </w:p>
    <w:p w14:paraId="7C6296A8">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6.1.1评标由招标人依法组建，人数见须知前附表</w:t>
      </w:r>
    </w:p>
    <w:p w14:paraId="1597D5C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6.1.2评标委员会成员有下列情形之一的，应当回避：</w:t>
      </w:r>
    </w:p>
    <w:p w14:paraId="0C2D1C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（1）招标人或投标人的主要负责人的近亲属；</w:t>
      </w:r>
    </w:p>
    <w:p w14:paraId="2A10908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（2）项目主管部门或者行政监督部门的人员；</w:t>
      </w:r>
    </w:p>
    <w:p w14:paraId="3DEB9A9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（3）与投标人有经济利益关系，可能影响对投标公正评审的；</w:t>
      </w:r>
    </w:p>
    <w:p w14:paraId="055C128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（4）曾因在招标、评标以及其他与招标投标有关活动中从事违法行为而受过行政处罚或刑事处罚的。</w:t>
      </w:r>
    </w:p>
    <w:p w14:paraId="08A6EA1F">
      <w:pPr>
        <w:shd w:val="clear"/>
        <w:spacing w:line="360" w:lineRule="auto"/>
        <w:ind w:firstLine="422" w:firstLineChars="200"/>
        <w:outlineLvl w:val="2"/>
        <w:rPr>
          <w:rFonts w:ascii="宋体" w:hAnsi="宋体" w:cs="宋体"/>
          <w:b/>
          <w:bCs/>
          <w:color w:val="auto"/>
          <w:highlight w:val="none"/>
        </w:rPr>
      </w:pPr>
      <w:bookmarkStart w:id="192" w:name="_Toc487461287"/>
      <w:bookmarkStart w:id="193" w:name="_Toc152045564"/>
      <w:bookmarkStart w:id="194" w:name="_Toc493081601"/>
      <w:bookmarkStart w:id="195" w:name="_Toc179632582"/>
      <w:bookmarkStart w:id="196" w:name="_Toc152042340"/>
      <w:bookmarkStart w:id="197" w:name="_Toc144974532"/>
      <w:r>
        <w:rPr>
          <w:rFonts w:hint="eastAsia" w:ascii="宋体" w:hAnsi="宋体" w:cs="宋体"/>
          <w:b/>
          <w:bCs/>
          <w:color w:val="auto"/>
          <w:highlight w:val="none"/>
        </w:rPr>
        <w:t>6.2 评标原则</w:t>
      </w:r>
      <w:bookmarkEnd w:id="192"/>
      <w:bookmarkEnd w:id="193"/>
      <w:bookmarkEnd w:id="194"/>
      <w:bookmarkEnd w:id="195"/>
      <w:bookmarkEnd w:id="196"/>
      <w:bookmarkEnd w:id="197"/>
    </w:p>
    <w:p w14:paraId="2CB0BE2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评标活动遵循公平、公正、科学和择优的原则</w:t>
      </w:r>
      <w:bookmarkStart w:id="198" w:name="_Toc179632583"/>
      <w:bookmarkStart w:id="199" w:name="_Toc152045565"/>
      <w:bookmarkStart w:id="200" w:name="_Toc152042341"/>
      <w:bookmarkStart w:id="201" w:name="_Toc144974533"/>
    </w:p>
    <w:p w14:paraId="3F409307">
      <w:pPr>
        <w:shd w:val="clear"/>
        <w:spacing w:line="360" w:lineRule="auto"/>
        <w:ind w:firstLine="422" w:firstLineChars="200"/>
        <w:outlineLvl w:val="2"/>
        <w:rPr>
          <w:rFonts w:ascii="宋体" w:hAnsi="宋体" w:cs="宋体"/>
          <w:b/>
          <w:bCs/>
          <w:color w:val="auto"/>
          <w:highlight w:val="none"/>
        </w:rPr>
      </w:pPr>
      <w:bookmarkStart w:id="202" w:name="_Toc487461288"/>
      <w:bookmarkStart w:id="203" w:name="_Toc493081602"/>
      <w:r>
        <w:rPr>
          <w:rFonts w:hint="eastAsia" w:ascii="宋体" w:hAnsi="宋体" w:cs="宋体"/>
          <w:b/>
          <w:bCs/>
          <w:color w:val="auto"/>
          <w:highlight w:val="none"/>
        </w:rPr>
        <w:t>6.3 评标</w:t>
      </w:r>
      <w:bookmarkEnd w:id="198"/>
      <w:bookmarkEnd w:id="199"/>
      <w:bookmarkEnd w:id="200"/>
      <w:bookmarkEnd w:id="201"/>
      <w:bookmarkEnd w:id="202"/>
      <w:bookmarkEnd w:id="203"/>
    </w:p>
    <w:p w14:paraId="375530A5">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评标委员会按照第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章“评标办法”规定的方法、评审因素、标准和程序对投标文件进行评审。第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章“评标办法”没有规定的方法、评审因素和标准，不作为评标依据。</w:t>
      </w:r>
      <w:bookmarkStart w:id="204" w:name="_Toc18941"/>
      <w:bookmarkStart w:id="205" w:name="_Toc152045566"/>
      <w:bookmarkStart w:id="206" w:name="_Toc144974534"/>
      <w:bookmarkStart w:id="207" w:name="_Toc179632584"/>
      <w:bookmarkStart w:id="208" w:name="_Toc30005"/>
      <w:bookmarkStart w:id="209" w:name="_Toc152042342"/>
    </w:p>
    <w:p w14:paraId="759376A9">
      <w:pPr>
        <w:shd w:val="clear"/>
        <w:spacing w:line="360" w:lineRule="auto"/>
        <w:outlineLvl w:val="1"/>
        <w:rPr>
          <w:rFonts w:ascii="宋体" w:hAnsi="宋体" w:cs="宋体"/>
          <w:b/>
          <w:bCs/>
          <w:color w:val="auto"/>
          <w:highlight w:val="none"/>
        </w:rPr>
      </w:pPr>
      <w:bookmarkStart w:id="210" w:name="_Toc487641637"/>
      <w:bookmarkStart w:id="211" w:name="_Toc493081603"/>
      <w:bookmarkStart w:id="212" w:name="_Toc487461289"/>
      <w:r>
        <w:rPr>
          <w:rFonts w:hint="eastAsia" w:ascii="宋体" w:hAnsi="宋体" w:cs="宋体"/>
          <w:b/>
          <w:bCs/>
          <w:color w:val="auto"/>
          <w:highlight w:val="none"/>
        </w:rPr>
        <w:t>7. 合同授予</w:t>
      </w:r>
      <w:bookmarkEnd w:id="210"/>
      <w:bookmarkEnd w:id="211"/>
    </w:p>
    <w:bookmarkEnd w:id="204"/>
    <w:bookmarkEnd w:id="205"/>
    <w:bookmarkEnd w:id="206"/>
    <w:bookmarkEnd w:id="207"/>
    <w:bookmarkEnd w:id="208"/>
    <w:bookmarkEnd w:id="209"/>
    <w:bookmarkEnd w:id="212"/>
    <w:p w14:paraId="12F0774C">
      <w:pPr>
        <w:shd w:val="clear"/>
        <w:spacing w:line="360" w:lineRule="auto"/>
        <w:ind w:firstLine="422" w:firstLineChars="200"/>
        <w:outlineLvl w:val="2"/>
        <w:rPr>
          <w:rFonts w:ascii="宋体" w:hAnsi="宋体" w:cs="宋体"/>
          <w:b/>
          <w:bCs/>
          <w:color w:val="auto"/>
          <w:highlight w:val="none"/>
        </w:rPr>
      </w:pPr>
      <w:bookmarkStart w:id="213" w:name="_Toc179632585"/>
      <w:bookmarkStart w:id="214" w:name="_Toc152042343"/>
      <w:bookmarkStart w:id="215" w:name="_Toc493081604"/>
      <w:bookmarkStart w:id="216" w:name="_Toc152045567"/>
      <w:bookmarkStart w:id="217" w:name="_Toc144974535"/>
      <w:bookmarkStart w:id="218" w:name="_Toc487461290"/>
      <w:r>
        <w:rPr>
          <w:rFonts w:hint="eastAsia" w:ascii="宋体" w:hAnsi="宋体" w:cs="宋体"/>
          <w:b/>
          <w:bCs/>
          <w:color w:val="auto"/>
          <w:highlight w:val="none"/>
        </w:rPr>
        <w:t>7.1 定标方式</w:t>
      </w:r>
      <w:bookmarkEnd w:id="213"/>
      <w:bookmarkEnd w:id="214"/>
      <w:bookmarkEnd w:id="215"/>
      <w:bookmarkEnd w:id="216"/>
      <w:bookmarkEnd w:id="217"/>
      <w:bookmarkEnd w:id="218"/>
      <w:bookmarkStart w:id="219" w:name="_Toc152045568"/>
      <w:bookmarkStart w:id="220" w:name="_Toc179632586"/>
      <w:bookmarkStart w:id="221" w:name="_Toc144974536"/>
      <w:bookmarkStart w:id="222" w:name="_Toc152042344"/>
    </w:p>
    <w:p w14:paraId="5543083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7.1.1评标委员会根据通过初步评审的投标人综合评审得分排序，推荐 </w:t>
      </w:r>
      <w:r>
        <w:rPr>
          <w:rFonts w:hint="eastAsia" w:ascii="宋体" w:hAnsi="宋体" w:cs="宋体"/>
          <w:color w:val="auto"/>
          <w:highlight w:val="none"/>
          <w:lang w:eastAsia="zh-CN"/>
        </w:rPr>
        <w:t>3-10</w:t>
      </w:r>
      <w:r>
        <w:rPr>
          <w:rFonts w:hint="eastAsia" w:ascii="宋体" w:hAnsi="宋体" w:cs="宋体"/>
          <w:color w:val="auto"/>
          <w:highlight w:val="none"/>
        </w:rPr>
        <w:t xml:space="preserve"> 名中标候选人，其中排名前五的中标候选人为中标人。若排名前五的中标人出现放弃中标、因不可抗力不能履行合同、未按招标文件要求提交履约保证金，或经查实存在影响中标结果的违法行为等不符合中标条件情形；或是中标人在合同履约阶段，因自身原因无法按合同约定履约的，招标人可按照评标委员会出具的中标候选人名单排序依次确定后续中标候选人为中标人，也可重新招标。评标委员会推荐中标候选人的人数见投标人须知前附表。</w:t>
      </w:r>
    </w:p>
    <w:p w14:paraId="458A6FF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7.1.2信用要求</w:t>
      </w:r>
    </w:p>
    <w:p w14:paraId="03FE9541">
      <w:pPr>
        <w:shd w:val="clear"/>
        <w:spacing w:line="360" w:lineRule="auto"/>
        <w:ind w:firstLine="420" w:firstLineChars="200"/>
        <w:rPr>
          <w:rFonts w:ascii="宋体" w:hAnsi="宋体" w:cs="宋体"/>
          <w:color w:val="auto"/>
          <w:highlight w:val="none"/>
        </w:rPr>
      </w:pPr>
      <w:bookmarkStart w:id="223" w:name="_Toc487461291"/>
      <w:bookmarkStart w:id="224" w:name="_Toc493081605"/>
      <w:r>
        <w:rPr>
          <w:rFonts w:hint="eastAsia" w:ascii="宋体" w:hAnsi="宋体" w:cs="宋体"/>
          <w:color w:val="auto"/>
          <w:highlight w:val="none"/>
        </w:rPr>
        <w:t>投标人存在以下不良信用记录情形之一的，不得推荐为中标候选投标人，不得确定为入库单位：</w:t>
      </w:r>
    </w:p>
    <w:p w14:paraId="2C770E95">
      <w:pPr>
        <w:shd w:val="clear"/>
        <w:spacing w:line="360" w:lineRule="auto"/>
        <w:ind w:firstLine="420" w:firstLineChars="200"/>
        <w:rPr>
          <w:rFonts w:ascii="宋体" w:hAnsi="宋体" w:cs="宋体"/>
          <w:strike/>
          <w:color w:val="auto"/>
          <w:highlight w:val="none"/>
        </w:rPr>
      </w:pPr>
      <w:r>
        <w:rPr>
          <w:rFonts w:hint="eastAsia" w:ascii="宋体" w:hAnsi="宋体" w:cs="宋体"/>
          <w:color w:val="auto"/>
          <w:highlight w:val="none"/>
        </w:rPr>
        <w:t>（1）投标人被人民法院列入失信被执行人的；</w:t>
      </w:r>
    </w:p>
    <w:p w14:paraId="0753232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（2）投标人被工商行政管理部门列入企业经营异常名录的；</w:t>
      </w:r>
    </w:p>
    <w:p w14:paraId="0CAFC226">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（3）投标人被税务部门列入重大税收违法案件当事人名单的；</w:t>
      </w:r>
    </w:p>
    <w:p w14:paraId="6858423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（4）投标人被政府采购监管部门列入政府采购严重违法失信行为记录名单的。</w:t>
      </w:r>
    </w:p>
    <w:p w14:paraId="721D79A5">
      <w:pPr>
        <w:shd w:val="clear"/>
        <w:spacing w:after="120" w:line="360" w:lineRule="auto"/>
        <w:rPr>
          <w:rFonts w:ascii="宋体" w:hAnsi="宋体" w:cs="宋体"/>
          <w:color w:val="auto"/>
          <w:szCs w:val="22"/>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 xml:space="preserve"> 注：招标人有权后期对各入库单位信用信息进行查证，如发现存在上述情形之一的，有权取消其入库资格，并按中标候选人顺序进行资格顺延。</w:t>
      </w:r>
    </w:p>
    <w:p w14:paraId="47CCC07C">
      <w:pPr>
        <w:shd w:val="clear"/>
        <w:spacing w:line="360" w:lineRule="auto"/>
        <w:ind w:firstLine="422" w:firstLineChars="200"/>
        <w:outlineLvl w:val="2"/>
        <w:rPr>
          <w:rFonts w:ascii="宋体" w:hAnsi="宋体" w:cs="宋体"/>
          <w:b/>
          <w:bCs/>
          <w:color w:val="auto"/>
          <w:highlight w:val="none"/>
        </w:rPr>
      </w:pPr>
      <w:r>
        <w:rPr>
          <w:rFonts w:hint="eastAsia" w:ascii="宋体" w:hAnsi="宋体" w:cs="宋体"/>
          <w:b/>
          <w:bCs/>
          <w:color w:val="auto"/>
          <w:highlight w:val="none"/>
        </w:rPr>
        <w:t>7.2 中标候选人公示、中标通知</w:t>
      </w:r>
      <w:bookmarkEnd w:id="219"/>
      <w:bookmarkEnd w:id="220"/>
      <w:bookmarkEnd w:id="221"/>
      <w:bookmarkEnd w:id="222"/>
      <w:bookmarkEnd w:id="223"/>
      <w:bookmarkEnd w:id="224"/>
    </w:p>
    <w:p w14:paraId="00CC203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7.2.1 招标人在投标人须知前附表规定的媒介公示中标候选人，公示时间不少于1个工作日。</w:t>
      </w:r>
    </w:p>
    <w:p w14:paraId="452DA40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7.3.1在签订合同前，中标人应按投标人须知前附表规定的担保形式和招标文件第</w:t>
      </w:r>
      <w:r>
        <w:rPr>
          <w:rFonts w:hint="eastAsia" w:ascii="宋体" w:hAnsi="宋体" w:cs="宋体"/>
          <w:color w:val="auto"/>
          <w:highlight w:val="none"/>
          <w:lang w:val="en-US" w:eastAsia="zh-CN"/>
        </w:rPr>
        <w:t>五</w:t>
      </w:r>
      <w:r>
        <w:rPr>
          <w:rFonts w:hint="eastAsia" w:ascii="宋体" w:hAnsi="宋体" w:cs="宋体"/>
          <w:color w:val="auto"/>
          <w:highlight w:val="none"/>
        </w:rPr>
        <w:t>章“合同条款及格式”规定的或者事先经过招标人书面认可的担保格式向招标人提交。联合体中标的，其担保由牵头人递交，并应符合投标人须知前附表规定的金额、担保形式和招标文件第</w:t>
      </w:r>
      <w:r>
        <w:rPr>
          <w:rFonts w:hint="eastAsia" w:ascii="宋体" w:hAnsi="宋体" w:cs="宋体"/>
          <w:color w:val="auto"/>
          <w:highlight w:val="none"/>
          <w:lang w:val="en-US" w:eastAsia="zh-CN"/>
        </w:rPr>
        <w:t>五</w:t>
      </w:r>
      <w:r>
        <w:rPr>
          <w:rFonts w:hint="eastAsia" w:ascii="宋体" w:hAnsi="宋体" w:cs="宋体"/>
          <w:color w:val="auto"/>
          <w:highlight w:val="none"/>
        </w:rPr>
        <w:t>章“合同条款及格式”规定的担保格式要求。</w:t>
      </w:r>
    </w:p>
    <w:p w14:paraId="0765FD5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7.3.2 中标人不能按本章第7.3.1项要求提交担保的，视为放弃中标，其投标保证金不予退还，给招标人造成的损失超过投标保证金数额的，中标人还应当对超过部分予以赔偿。</w:t>
      </w:r>
    </w:p>
    <w:p w14:paraId="22E9EFEE">
      <w:pPr>
        <w:shd w:val="clear"/>
        <w:spacing w:line="360" w:lineRule="auto"/>
        <w:ind w:firstLine="422" w:firstLineChars="200"/>
        <w:outlineLvl w:val="2"/>
        <w:rPr>
          <w:rFonts w:ascii="宋体" w:hAnsi="宋体" w:cs="宋体"/>
          <w:b/>
          <w:bCs/>
          <w:color w:val="auto"/>
          <w:highlight w:val="none"/>
        </w:rPr>
      </w:pPr>
      <w:bookmarkStart w:id="225" w:name="_Toc144974538"/>
      <w:bookmarkStart w:id="226" w:name="_Toc179632588"/>
      <w:bookmarkStart w:id="227" w:name="_Toc493081607"/>
      <w:bookmarkStart w:id="228" w:name="_Toc152045570"/>
      <w:bookmarkStart w:id="229" w:name="_Toc487461293"/>
      <w:bookmarkStart w:id="230" w:name="_Toc152042346"/>
      <w:r>
        <w:rPr>
          <w:rFonts w:hint="eastAsia" w:ascii="宋体" w:hAnsi="宋体" w:cs="宋体"/>
          <w:b/>
          <w:bCs/>
          <w:color w:val="auto"/>
          <w:highlight w:val="none"/>
        </w:rPr>
        <w:t>7.4 签订合同</w:t>
      </w:r>
      <w:bookmarkEnd w:id="225"/>
      <w:bookmarkEnd w:id="226"/>
      <w:bookmarkEnd w:id="227"/>
      <w:bookmarkEnd w:id="228"/>
      <w:bookmarkEnd w:id="229"/>
      <w:bookmarkEnd w:id="230"/>
    </w:p>
    <w:p w14:paraId="11F3EE5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7.4.1</w:t>
      </w:r>
      <w:r>
        <w:rPr>
          <w:rFonts w:hint="eastAsia" w:ascii="宋体" w:hAnsi="宋体" w:cs="宋体"/>
          <w:color w:val="auto"/>
          <w:highlight w:val="none"/>
          <w:lang w:val="en-US" w:eastAsia="zh-CN"/>
        </w:rPr>
        <w:t>中标人</w:t>
      </w:r>
      <w:r>
        <w:rPr>
          <w:rFonts w:hint="eastAsia" w:ascii="宋体" w:hAnsi="宋体" w:cs="宋体"/>
          <w:color w:val="auto"/>
          <w:highlight w:val="none"/>
        </w:rPr>
        <w:t>拒绝与</w:t>
      </w:r>
      <w:r>
        <w:rPr>
          <w:rFonts w:hint="eastAsia" w:ascii="宋体" w:hAnsi="宋体" w:cs="宋体"/>
          <w:color w:val="auto"/>
          <w:highlight w:val="none"/>
          <w:lang w:val="en-US" w:eastAsia="zh-CN"/>
        </w:rPr>
        <w:t>招标人</w:t>
      </w:r>
      <w:r>
        <w:rPr>
          <w:rFonts w:hint="eastAsia" w:ascii="宋体" w:hAnsi="宋体" w:cs="宋体"/>
          <w:color w:val="auto"/>
          <w:highlight w:val="none"/>
        </w:rPr>
        <w:t>签订合同的，</w:t>
      </w:r>
      <w:r>
        <w:rPr>
          <w:rFonts w:hint="eastAsia" w:ascii="宋体" w:hAnsi="宋体" w:cs="宋体"/>
          <w:color w:val="auto"/>
          <w:highlight w:val="none"/>
          <w:lang w:val="en-US" w:eastAsia="zh-CN"/>
        </w:rPr>
        <w:t>招标人</w:t>
      </w:r>
      <w:r>
        <w:rPr>
          <w:rFonts w:hint="eastAsia" w:ascii="宋体" w:hAnsi="宋体" w:cs="宋体"/>
          <w:color w:val="auto"/>
          <w:highlight w:val="none"/>
        </w:rPr>
        <w:t>可以按照评</w:t>
      </w:r>
      <w:r>
        <w:rPr>
          <w:rFonts w:hint="eastAsia" w:ascii="宋体" w:hAnsi="宋体" w:cs="宋体"/>
          <w:color w:val="auto"/>
          <w:highlight w:val="none"/>
          <w:lang w:val="en-US" w:eastAsia="zh-CN"/>
        </w:rPr>
        <w:t>标</w:t>
      </w:r>
      <w:r>
        <w:rPr>
          <w:rFonts w:hint="eastAsia" w:ascii="宋体" w:hAnsi="宋体" w:cs="宋体"/>
          <w:color w:val="auto"/>
          <w:highlight w:val="none"/>
        </w:rPr>
        <w:t>报告推荐的</w:t>
      </w:r>
      <w:r>
        <w:rPr>
          <w:rFonts w:hint="eastAsia" w:ascii="宋体" w:hAnsi="宋体" w:cs="宋体"/>
          <w:color w:val="auto"/>
          <w:highlight w:val="none"/>
          <w:lang w:val="en-US" w:eastAsia="zh-CN"/>
        </w:rPr>
        <w:t>中标</w:t>
      </w:r>
      <w:r>
        <w:rPr>
          <w:rFonts w:hint="eastAsia" w:ascii="宋体" w:hAnsi="宋体" w:cs="宋体"/>
          <w:color w:val="auto"/>
          <w:highlight w:val="none"/>
        </w:rPr>
        <w:t>候选人名单排序，确定下一</w:t>
      </w:r>
      <w:r>
        <w:rPr>
          <w:rFonts w:hint="eastAsia" w:ascii="宋体" w:hAnsi="宋体" w:cs="宋体"/>
          <w:color w:val="auto"/>
          <w:highlight w:val="none"/>
          <w:lang w:val="en-US" w:eastAsia="zh-CN"/>
        </w:rPr>
        <w:t>中标</w:t>
      </w:r>
      <w:r>
        <w:rPr>
          <w:rFonts w:hint="eastAsia" w:ascii="宋体" w:hAnsi="宋体" w:cs="宋体"/>
          <w:color w:val="auto"/>
          <w:highlight w:val="none"/>
        </w:rPr>
        <w:t>候选人为</w:t>
      </w:r>
      <w:r>
        <w:rPr>
          <w:rFonts w:hint="eastAsia" w:ascii="宋体" w:hAnsi="宋体" w:cs="宋体"/>
          <w:color w:val="auto"/>
          <w:highlight w:val="none"/>
          <w:lang w:val="en-US" w:eastAsia="zh-CN"/>
        </w:rPr>
        <w:t>中标人</w:t>
      </w:r>
      <w:r>
        <w:rPr>
          <w:rFonts w:hint="eastAsia" w:ascii="宋体" w:hAnsi="宋体" w:cs="宋体"/>
          <w:color w:val="auto"/>
          <w:highlight w:val="none"/>
        </w:rPr>
        <w:t>，也可以重新开展采购活动。</w:t>
      </w:r>
      <w:r>
        <w:rPr>
          <w:rFonts w:hint="eastAsia" w:ascii="宋体" w:hAnsi="宋体" w:cs="宋体"/>
          <w:color w:val="auto"/>
          <w:highlight w:val="none"/>
          <w:lang w:val="en-US" w:eastAsia="zh-CN"/>
        </w:rPr>
        <w:t>中标人</w:t>
      </w:r>
      <w:r>
        <w:rPr>
          <w:rFonts w:hint="eastAsia" w:ascii="宋体" w:hAnsi="宋体" w:cs="宋体"/>
          <w:color w:val="auto"/>
          <w:highlight w:val="none"/>
        </w:rPr>
        <w:t xml:space="preserve">拒绝签订合同的不得参加对该项目重新开展的采购活动。给招标人造成损失的，中标人还应当对超过部分予以赔偿。 </w:t>
      </w:r>
    </w:p>
    <w:p w14:paraId="6AA35699">
      <w:pPr>
        <w:shd w:val="clear"/>
        <w:spacing w:line="360" w:lineRule="auto"/>
        <w:ind w:firstLine="422" w:firstLineChars="200"/>
        <w:outlineLvl w:val="2"/>
        <w:rPr>
          <w:rFonts w:ascii="宋体" w:hAnsi="宋体" w:cs="宋体"/>
          <w:b/>
          <w:bCs/>
          <w:color w:val="auto"/>
          <w:highlight w:val="none"/>
        </w:rPr>
      </w:pPr>
      <w:r>
        <w:rPr>
          <w:rFonts w:hint="eastAsia" w:ascii="宋体" w:hAnsi="宋体" w:cs="宋体"/>
          <w:b/>
          <w:bCs/>
          <w:color w:val="auto"/>
          <w:highlight w:val="none"/>
        </w:rPr>
        <w:t>7.5单个项目合同授予原则：</w:t>
      </w:r>
    </w:p>
    <w:p w14:paraId="34E7B92B">
      <w:pPr>
        <w:shd w:val="clear"/>
        <w:spacing w:line="360" w:lineRule="auto"/>
        <w:ind w:firstLine="422" w:firstLineChars="200"/>
        <w:outlineLvl w:val="1"/>
        <w:rPr>
          <w:rFonts w:hint="eastAsia" w:ascii="宋体" w:hAnsi="宋体" w:cs="宋体"/>
          <w:b/>
          <w:bCs/>
          <w:color w:val="auto"/>
          <w:highlight w:val="none"/>
        </w:rPr>
      </w:pPr>
      <w:bookmarkStart w:id="231" w:name="_Toc487461294"/>
      <w:bookmarkStart w:id="232" w:name="_Toc152045571"/>
      <w:bookmarkStart w:id="233" w:name="_Toc152042347"/>
      <w:bookmarkStart w:id="234" w:name="_Toc144974539"/>
      <w:bookmarkStart w:id="235" w:name="_Toc1092"/>
      <w:bookmarkStart w:id="236" w:name="_Toc493081608"/>
      <w:bookmarkStart w:id="237" w:name="_Toc487641638"/>
      <w:bookmarkStart w:id="238" w:name="_Toc18349"/>
      <w:bookmarkStart w:id="239" w:name="_Toc179632589"/>
      <w:r>
        <w:rPr>
          <w:rFonts w:hint="eastAsia" w:ascii="宋体" w:hAnsi="宋体" w:cs="宋体"/>
          <w:b/>
          <w:bCs/>
          <w:color w:val="auto"/>
          <w:highlight w:val="none"/>
        </w:rPr>
        <w:t>1.在协议期限内，按照项目先后的时间次序，有项目A、项目B、项目C……，项目A由甲方从所有入围单位中随机抽取1家，项目B从该入围单位中所有入围单位前一次未被抽中的单位中按上述方式继续进行，项目C则从所有入围单位前两次均未被抽中的单位中继续进行，以此类推，所有入围单位抽完后重新开始新一轮抽签，抽签规则不变；抽中的项目，如因特殊原因取消不实施，甲方不给予调整替换项目。每一轮抽签完成后，甲方将对服务机构的服务质量进行评价、打分、评级，最差者可能会被停抽一轮。</w:t>
      </w:r>
    </w:p>
    <w:p w14:paraId="5EF4BCE4">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2.特殊项目可由甲方根据企业实力和项目实际需求直接合同授予，所有入库单位不得有任何异议。</w:t>
      </w:r>
    </w:p>
    <w:p w14:paraId="2147C187">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3.被抽到的入围单位按照入围框架协议的价格签订合同，不按以上规定签订合同的甲方将清除出该入围单位并不予退还其履约保证金。</w:t>
      </w:r>
    </w:p>
    <w:p w14:paraId="6EF01FF0">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4.后期如因项目实施单位没有相应的服务能力，导致项目不能按期完成，则将其清除出库，并不予退还履约保证金。</w:t>
      </w:r>
    </w:p>
    <w:p w14:paraId="55D22CAF">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rPr>
        <w:t>5.在服务期内，当入库单位被</w:t>
      </w:r>
      <w:r>
        <w:rPr>
          <w:rFonts w:hint="eastAsia" w:ascii="宋体" w:hAnsi="宋体" w:cs="宋体"/>
          <w:b/>
          <w:bCs/>
          <w:color w:val="auto"/>
          <w:highlight w:val="none"/>
          <w:lang w:eastAsia="zh-CN"/>
        </w:rPr>
        <w:t>记入黑名单</w:t>
      </w:r>
      <w:r>
        <w:rPr>
          <w:rFonts w:hint="eastAsia" w:ascii="宋体" w:hAnsi="宋体" w:cs="宋体"/>
          <w:b/>
          <w:bCs/>
          <w:color w:val="auto"/>
          <w:highlight w:val="none"/>
        </w:rPr>
        <w:t>或被清除出库，出现空缺时，从备选名单中按评标得分由高到低依次递补入库，入库协议价以首批入库单位的协议价为准。且无需通知已入库单位。</w:t>
      </w:r>
    </w:p>
    <w:p w14:paraId="68ACEDC6">
      <w:pPr>
        <w:shd w:val="clear"/>
        <w:spacing w:line="360" w:lineRule="auto"/>
        <w:ind w:firstLine="422" w:firstLineChars="200"/>
        <w:outlineLvl w:val="1"/>
        <w:rPr>
          <w:rFonts w:hint="eastAsia" w:ascii="宋体" w:hAnsi="宋体" w:cs="宋体"/>
          <w:b/>
          <w:bCs/>
          <w:color w:val="auto"/>
          <w:highlight w:val="none"/>
        </w:rPr>
      </w:pPr>
      <w:r>
        <w:rPr>
          <w:rFonts w:hint="eastAsia" w:ascii="宋体" w:hAnsi="宋体" w:cs="宋体"/>
          <w:b/>
          <w:bCs/>
          <w:color w:val="auto"/>
          <w:highlight w:val="none"/>
          <w:lang w:val="en-US" w:eastAsia="zh-CN"/>
        </w:rPr>
        <w:t>6、</w:t>
      </w:r>
      <w:r>
        <w:rPr>
          <w:rFonts w:hint="eastAsia" w:ascii="宋体" w:hAnsi="宋体" w:cs="宋体"/>
          <w:b/>
          <w:bCs/>
          <w:color w:val="auto"/>
          <w:highlight w:val="none"/>
        </w:rPr>
        <w:t>未入围的投标人，按评标得分由高到低选取不超过入围单位1:1比例的投标人作为备选名单，在服务期内，当入库单位被</w:t>
      </w:r>
      <w:r>
        <w:rPr>
          <w:rFonts w:hint="eastAsia" w:ascii="宋体" w:hAnsi="宋体" w:cs="宋体"/>
          <w:b/>
          <w:bCs/>
          <w:color w:val="auto"/>
          <w:highlight w:val="none"/>
          <w:lang w:val="en-US" w:eastAsia="zh-CN"/>
        </w:rPr>
        <w:t>记</w:t>
      </w:r>
      <w:r>
        <w:rPr>
          <w:rFonts w:hint="eastAsia" w:ascii="宋体" w:hAnsi="宋体" w:cs="宋体"/>
          <w:b/>
          <w:bCs/>
          <w:color w:val="auto"/>
          <w:highlight w:val="none"/>
        </w:rPr>
        <w:t>入黑名单或被清除出库，出现空缺时，从备选名单中按评标得分由高到低依次递补入库。且无需通知已入库单位。</w:t>
      </w:r>
    </w:p>
    <w:p w14:paraId="6CDF3E91">
      <w:pPr>
        <w:shd w:val="clear"/>
        <w:spacing w:line="360" w:lineRule="auto"/>
        <w:ind w:firstLine="422" w:firstLineChars="200"/>
        <w:outlineLvl w:val="1"/>
        <w:rPr>
          <w:rFonts w:ascii="宋体" w:hAnsi="宋体" w:cs="宋体"/>
          <w:b/>
          <w:bCs/>
          <w:color w:val="auto"/>
          <w:highlight w:val="none"/>
        </w:rPr>
      </w:pPr>
      <w:r>
        <w:rPr>
          <w:rFonts w:hint="eastAsia" w:ascii="宋体" w:hAnsi="宋体" w:cs="宋体"/>
          <w:b/>
          <w:bCs/>
          <w:color w:val="auto"/>
          <w:highlight w:val="none"/>
        </w:rPr>
        <w:t xml:space="preserve">8. </w:t>
      </w:r>
      <w:bookmarkEnd w:id="231"/>
      <w:bookmarkEnd w:id="232"/>
      <w:bookmarkEnd w:id="233"/>
      <w:bookmarkEnd w:id="234"/>
      <w:bookmarkEnd w:id="235"/>
      <w:bookmarkEnd w:id="236"/>
      <w:bookmarkEnd w:id="237"/>
      <w:bookmarkEnd w:id="238"/>
      <w:bookmarkEnd w:id="239"/>
      <w:r>
        <w:rPr>
          <w:rFonts w:hint="eastAsia" w:ascii="宋体" w:hAnsi="宋体" w:cs="宋体"/>
          <w:b/>
          <w:bCs/>
          <w:color w:val="auto"/>
          <w:highlight w:val="none"/>
        </w:rPr>
        <w:t>废标情形</w:t>
      </w:r>
    </w:p>
    <w:p w14:paraId="3CD312C4">
      <w:pPr>
        <w:shd w:val="clear"/>
        <w:spacing w:line="360" w:lineRule="auto"/>
        <w:ind w:firstLine="420" w:firstLineChars="200"/>
        <w:rPr>
          <w:rFonts w:ascii="宋体" w:hAnsi="宋体" w:cs="宋体"/>
          <w:color w:val="auto"/>
          <w:highlight w:val="none"/>
        </w:rPr>
      </w:pPr>
      <w:bookmarkStart w:id="240" w:name="_Toc144974542"/>
      <w:bookmarkStart w:id="241" w:name="_Toc493081609"/>
      <w:bookmarkStart w:id="242" w:name="_Toc13946"/>
      <w:bookmarkStart w:id="243" w:name="_Toc152042350"/>
      <w:bookmarkStart w:id="244" w:name="_Toc487641639"/>
      <w:bookmarkStart w:id="245" w:name="_Toc29170"/>
      <w:bookmarkStart w:id="246" w:name="_Toc487461295"/>
      <w:bookmarkStart w:id="247" w:name="_Toc152045574"/>
      <w:bookmarkStart w:id="248" w:name="_Toc179632592"/>
      <w:r>
        <w:rPr>
          <w:rFonts w:hint="eastAsia" w:ascii="宋体" w:hAnsi="宋体" w:cs="宋体"/>
          <w:color w:val="auto"/>
          <w:highlight w:val="none"/>
        </w:rPr>
        <w:t>8.1在招标过程中，出现下列情形之一的，予以废标：</w:t>
      </w:r>
    </w:p>
    <w:p w14:paraId="11B2B11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（1）出现影响招标公正的违法、违规行为的；</w:t>
      </w:r>
    </w:p>
    <w:p w14:paraId="43F4BB4F">
      <w:pPr>
        <w:shd w:val="clea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（2）因重大变故，招标任务取消的；</w:t>
      </w:r>
    </w:p>
    <w:p w14:paraId="4D8FDD78">
      <w:pPr>
        <w:shd w:val="clea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投标时间截止后，递交投标文件的投标人少于三家的；</w:t>
      </w:r>
    </w:p>
    <w:p w14:paraId="15F7529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废标后，招标人将废标理由通知所有投标人。</w:t>
      </w:r>
    </w:p>
    <w:p w14:paraId="791CEF42">
      <w:pPr>
        <w:shd w:val="clear"/>
        <w:spacing w:line="360" w:lineRule="auto"/>
        <w:outlineLvl w:val="1"/>
        <w:rPr>
          <w:rFonts w:ascii="宋体" w:hAnsi="宋体" w:cs="宋体"/>
          <w:b/>
          <w:bCs/>
          <w:color w:val="auto"/>
          <w:highlight w:val="none"/>
        </w:rPr>
      </w:pPr>
      <w:r>
        <w:rPr>
          <w:rFonts w:hint="eastAsia" w:ascii="宋体" w:hAnsi="宋体" w:cs="宋体"/>
          <w:b/>
          <w:bCs/>
          <w:color w:val="auto"/>
          <w:highlight w:val="none"/>
        </w:rPr>
        <w:t>9. 纪律和监督</w:t>
      </w:r>
      <w:bookmarkEnd w:id="240"/>
      <w:bookmarkEnd w:id="241"/>
      <w:bookmarkEnd w:id="242"/>
      <w:bookmarkEnd w:id="243"/>
      <w:bookmarkEnd w:id="244"/>
      <w:bookmarkEnd w:id="245"/>
      <w:bookmarkEnd w:id="246"/>
      <w:bookmarkEnd w:id="247"/>
      <w:bookmarkEnd w:id="248"/>
    </w:p>
    <w:p w14:paraId="0A00E5E9">
      <w:pPr>
        <w:shd w:val="clear"/>
        <w:spacing w:line="360" w:lineRule="auto"/>
        <w:ind w:firstLine="422" w:firstLineChars="200"/>
        <w:outlineLvl w:val="2"/>
        <w:rPr>
          <w:rFonts w:ascii="宋体" w:hAnsi="宋体" w:cs="宋体"/>
          <w:b/>
          <w:bCs/>
          <w:color w:val="auto"/>
          <w:highlight w:val="none"/>
        </w:rPr>
      </w:pPr>
      <w:bookmarkStart w:id="249" w:name="_Toc493081610"/>
      <w:bookmarkStart w:id="250" w:name="_Toc144974543"/>
      <w:bookmarkStart w:id="251" w:name="_Toc487461296"/>
      <w:bookmarkStart w:id="252" w:name="_Toc152042351"/>
      <w:bookmarkStart w:id="253" w:name="_Toc179632593"/>
      <w:bookmarkStart w:id="254" w:name="_Toc152045575"/>
      <w:r>
        <w:rPr>
          <w:rFonts w:hint="eastAsia" w:ascii="宋体" w:hAnsi="宋体" w:cs="宋体"/>
          <w:b/>
          <w:bCs/>
          <w:color w:val="auto"/>
          <w:highlight w:val="none"/>
        </w:rPr>
        <w:t>9.1 对招标人的纪律要求</w:t>
      </w:r>
      <w:bookmarkEnd w:id="249"/>
      <w:bookmarkEnd w:id="250"/>
      <w:bookmarkEnd w:id="251"/>
      <w:bookmarkEnd w:id="252"/>
      <w:bookmarkEnd w:id="253"/>
      <w:bookmarkEnd w:id="254"/>
    </w:p>
    <w:p w14:paraId="333A4F20">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招标人</w:t>
      </w:r>
      <w:r>
        <w:rPr>
          <w:rFonts w:hint="eastAsia" w:ascii="宋体" w:hAnsi="宋体" w:cs="宋体"/>
          <w:color w:val="auto"/>
          <w:highlight w:val="none"/>
          <w:lang w:eastAsia="zh-CN"/>
        </w:rPr>
        <w:t>不得泄露</w:t>
      </w:r>
      <w:r>
        <w:rPr>
          <w:rFonts w:hint="eastAsia" w:ascii="宋体" w:hAnsi="宋体" w:cs="宋体"/>
          <w:color w:val="auto"/>
          <w:highlight w:val="none"/>
        </w:rPr>
        <w:t>招标投标活动中应当保密的情况和资料，不得与投标人串通损害国家利益、社会公共利益或者他人合法权益。</w:t>
      </w:r>
    </w:p>
    <w:p w14:paraId="6091D679">
      <w:pPr>
        <w:shd w:val="clear"/>
        <w:spacing w:line="360" w:lineRule="auto"/>
        <w:ind w:firstLine="422" w:firstLineChars="200"/>
        <w:outlineLvl w:val="2"/>
        <w:rPr>
          <w:rFonts w:ascii="宋体" w:hAnsi="宋体" w:cs="宋体"/>
          <w:b/>
          <w:bCs/>
          <w:color w:val="auto"/>
          <w:highlight w:val="none"/>
        </w:rPr>
      </w:pPr>
      <w:bookmarkStart w:id="255" w:name="_Toc152042352"/>
      <w:bookmarkStart w:id="256" w:name="_Toc487461297"/>
      <w:bookmarkStart w:id="257" w:name="_Toc493081611"/>
      <w:bookmarkStart w:id="258" w:name="_Toc144974544"/>
      <w:bookmarkStart w:id="259" w:name="_Toc179632594"/>
      <w:bookmarkStart w:id="260" w:name="_Toc152045576"/>
      <w:r>
        <w:rPr>
          <w:rFonts w:hint="eastAsia" w:ascii="宋体" w:hAnsi="宋体" w:cs="宋体"/>
          <w:b/>
          <w:bCs/>
          <w:color w:val="auto"/>
          <w:highlight w:val="none"/>
        </w:rPr>
        <w:t>9.2 对投标人的纪律要求</w:t>
      </w:r>
      <w:bookmarkEnd w:id="255"/>
      <w:bookmarkEnd w:id="256"/>
      <w:bookmarkEnd w:id="257"/>
      <w:bookmarkEnd w:id="258"/>
      <w:bookmarkEnd w:id="259"/>
      <w:bookmarkEnd w:id="260"/>
    </w:p>
    <w:p w14:paraId="31865ECD">
      <w:pPr>
        <w:shd w:val="clear"/>
        <w:spacing w:line="360" w:lineRule="auto"/>
        <w:ind w:firstLine="420" w:firstLineChars="200"/>
        <w:rPr>
          <w:rFonts w:ascii="宋体" w:hAnsi="宋体" w:cs="宋体"/>
          <w:color w:val="auto"/>
          <w:highlight w:val="none"/>
        </w:rPr>
      </w:pPr>
      <w:bookmarkStart w:id="261" w:name="_Toc152042353"/>
      <w:bookmarkStart w:id="262" w:name="_Toc144974545"/>
      <w:bookmarkStart w:id="263" w:name="_Toc152045577"/>
      <w:bookmarkStart w:id="264" w:name="_Toc179632595"/>
      <w:r>
        <w:rPr>
          <w:rFonts w:hint="eastAsia" w:ascii="宋体" w:hAnsi="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w:t>
      </w:r>
      <w:r>
        <w:rPr>
          <w:rFonts w:hint="eastAsia" w:ascii="宋体" w:hAnsi="宋体" w:cs="宋体"/>
          <w:color w:val="auto"/>
          <w:highlight w:val="none"/>
          <w:lang w:eastAsia="zh-CN"/>
        </w:rPr>
        <w:t>阜阳市投资发展集团有限公司</w:t>
      </w:r>
      <w:r>
        <w:rPr>
          <w:rFonts w:hint="eastAsia" w:ascii="宋体" w:hAnsi="宋体" w:cs="宋体"/>
          <w:color w:val="auto"/>
          <w:highlight w:val="none"/>
        </w:rPr>
        <w:t>公共资源交易活动。</w:t>
      </w:r>
    </w:p>
    <w:p w14:paraId="06CFB6ED">
      <w:pPr>
        <w:shd w:val="clear"/>
        <w:spacing w:line="360" w:lineRule="auto"/>
        <w:ind w:firstLine="422" w:firstLineChars="200"/>
        <w:outlineLvl w:val="2"/>
        <w:rPr>
          <w:rFonts w:ascii="宋体" w:hAnsi="宋体" w:cs="宋体"/>
          <w:b/>
          <w:bCs/>
          <w:color w:val="auto"/>
          <w:highlight w:val="none"/>
        </w:rPr>
      </w:pPr>
      <w:bookmarkStart w:id="265" w:name="_Toc487461298"/>
      <w:bookmarkStart w:id="266" w:name="_Toc493081612"/>
      <w:r>
        <w:rPr>
          <w:rFonts w:hint="eastAsia" w:ascii="宋体" w:hAnsi="宋体" w:cs="宋体"/>
          <w:b/>
          <w:bCs/>
          <w:color w:val="auto"/>
          <w:highlight w:val="none"/>
        </w:rPr>
        <w:t>9.3 对评标委员会成员的纪律要求</w:t>
      </w:r>
      <w:bookmarkEnd w:id="261"/>
      <w:bookmarkEnd w:id="262"/>
      <w:bookmarkEnd w:id="263"/>
      <w:bookmarkEnd w:id="264"/>
      <w:bookmarkEnd w:id="265"/>
      <w:bookmarkEnd w:id="266"/>
    </w:p>
    <w:p w14:paraId="54A95AC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评标委员会成员不得收受他人的财物或者其他好处，不得向他人</w:t>
      </w:r>
      <w:r>
        <w:rPr>
          <w:rFonts w:hint="eastAsia" w:ascii="宋体" w:hAnsi="宋体" w:cs="宋体"/>
          <w:color w:val="auto"/>
          <w:highlight w:val="none"/>
          <w:lang w:eastAsia="zh-CN"/>
        </w:rPr>
        <w:t>透露</w:t>
      </w:r>
      <w:r>
        <w:rPr>
          <w:rFonts w:hint="eastAsia" w:ascii="宋体" w:hAnsi="宋体" w:cs="宋体"/>
          <w:color w:val="auto"/>
          <w:highlight w:val="none"/>
        </w:rPr>
        <w:t>对投标文件的评审和比较、中标候选人的推荐情况以及评标有关的其他情况。在评标活动中，评标委员会成员不得擅离职守，影响评标程序正常进行，不得使用第</w:t>
      </w:r>
      <w:r>
        <w:rPr>
          <w:rFonts w:hint="eastAsia" w:ascii="宋体" w:hAnsi="宋体" w:cs="宋体"/>
          <w:color w:val="auto"/>
          <w:highlight w:val="none"/>
          <w:lang w:val="en-US" w:eastAsia="zh-CN"/>
        </w:rPr>
        <w:t>四</w:t>
      </w:r>
      <w:r>
        <w:rPr>
          <w:rFonts w:hint="eastAsia" w:ascii="宋体" w:hAnsi="宋体" w:cs="宋体"/>
          <w:color w:val="auto"/>
          <w:highlight w:val="none"/>
        </w:rPr>
        <w:t>章“评标办法”没有规定的评审因素和标准进行评标。</w:t>
      </w:r>
    </w:p>
    <w:p w14:paraId="64E9A760">
      <w:pPr>
        <w:shd w:val="clear"/>
        <w:spacing w:line="360" w:lineRule="auto"/>
        <w:ind w:firstLine="422" w:firstLineChars="200"/>
        <w:outlineLvl w:val="2"/>
        <w:rPr>
          <w:rFonts w:ascii="宋体" w:hAnsi="宋体" w:cs="宋体"/>
          <w:b/>
          <w:bCs/>
          <w:color w:val="auto"/>
          <w:highlight w:val="none"/>
        </w:rPr>
      </w:pPr>
      <w:bookmarkStart w:id="267" w:name="_Toc493081613"/>
      <w:bookmarkStart w:id="268" w:name="_Toc152045578"/>
      <w:bookmarkStart w:id="269" w:name="_Toc487461299"/>
      <w:bookmarkStart w:id="270" w:name="_Toc152042354"/>
      <w:bookmarkStart w:id="271" w:name="_Toc179632596"/>
      <w:bookmarkStart w:id="272" w:name="_Toc144974546"/>
      <w:r>
        <w:rPr>
          <w:rFonts w:hint="eastAsia" w:ascii="宋体" w:hAnsi="宋体" w:cs="宋体"/>
          <w:b/>
          <w:bCs/>
          <w:color w:val="auto"/>
          <w:highlight w:val="none"/>
        </w:rPr>
        <w:t>9.4 对与评标活动有关的工作人员的纪律要求</w:t>
      </w:r>
      <w:bookmarkEnd w:id="267"/>
      <w:bookmarkEnd w:id="268"/>
      <w:bookmarkEnd w:id="269"/>
      <w:bookmarkEnd w:id="270"/>
      <w:bookmarkEnd w:id="271"/>
    </w:p>
    <w:p w14:paraId="65C1C2CF">
      <w:pPr>
        <w:shd w:val="clear"/>
        <w:spacing w:line="360" w:lineRule="auto"/>
        <w:ind w:firstLine="420" w:firstLineChars="200"/>
        <w:rPr>
          <w:rFonts w:ascii="宋体" w:hAnsi="宋体" w:cs="宋体"/>
          <w:color w:val="auto"/>
          <w:highlight w:val="none"/>
        </w:rPr>
      </w:pPr>
      <w:bookmarkStart w:id="273" w:name="_Toc152042355"/>
      <w:r>
        <w:rPr>
          <w:rFonts w:hint="eastAsia" w:ascii="宋体" w:hAnsi="宋体" w:cs="宋体"/>
          <w:color w:val="auto"/>
          <w:highlight w:val="none"/>
        </w:rPr>
        <w:t>与评标活动有关的工作人员不得收受他人的财物或者其他好处，不得向他人</w:t>
      </w:r>
      <w:r>
        <w:rPr>
          <w:rFonts w:hint="eastAsia" w:ascii="宋体" w:hAnsi="宋体" w:cs="宋体"/>
          <w:color w:val="auto"/>
          <w:highlight w:val="none"/>
          <w:lang w:eastAsia="zh-CN"/>
        </w:rPr>
        <w:t>透露</w:t>
      </w:r>
      <w:r>
        <w:rPr>
          <w:rFonts w:hint="eastAsia" w:ascii="宋体" w:hAnsi="宋体" w:cs="宋体"/>
          <w:color w:val="auto"/>
          <w:highlight w:val="none"/>
        </w:rPr>
        <w:t>对投标文件的评审和比较、中标候选人的推荐情况以及评标有关的其他情况。在评标活动中，与评标活动有关的工作人员不得擅离职守，影响评标程序正常进行。</w:t>
      </w:r>
      <w:bookmarkEnd w:id="273"/>
    </w:p>
    <w:p w14:paraId="5BA0F7C8">
      <w:pPr>
        <w:shd w:val="clear"/>
        <w:spacing w:line="360" w:lineRule="auto"/>
        <w:ind w:firstLine="422" w:firstLineChars="200"/>
        <w:outlineLvl w:val="2"/>
        <w:rPr>
          <w:rFonts w:hint="eastAsia" w:ascii="宋体" w:hAnsi="宋体" w:eastAsia="宋体" w:cs="宋体"/>
          <w:b/>
          <w:bCs/>
          <w:color w:val="auto"/>
          <w:highlight w:val="none"/>
          <w:lang w:eastAsia="zh-CN"/>
        </w:rPr>
      </w:pPr>
      <w:bookmarkStart w:id="274" w:name="_Toc493081614"/>
      <w:bookmarkStart w:id="275" w:name="_Toc487461300"/>
      <w:bookmarkStart w:id="276" w:name="_Toc152042356"/>
      <w:bookmarkStart w:id="277" w:name="_Toc179632597"/>
      <w:bookmarkStart w:id="278" w:name="_Toc152045579"/>
      <w:r>
        <w:rPr>
          <w:rFonts w:hint="eastAsia" w:ascii="宋体" w:hAnsi="宋体" w:cs="宋体"/>
          <w:b/>
          <w:bCs/>
          <w:color w:val="auto"/>
          <w:highlight w:val="none"/>
        </w:rPr>
        <w:t>9.5</w:t>
      </w:r>
      <w:bookmarkEnd w:id="274"/>
      <w:bookmarkEnd w:id="275"/>
      <w:r>
        <w:rPr>
          <w:rFonts w:hint="eastAsia" w:ascii="宋体" w:hAnsi="宋体" w:cs="宋体"/>
          <w:b/>
          <w:bCs/>
          <w:color w:val="auto"/>
          <w:highlight w:val="none"/>
          <w:lang w:val="en-US" w:eastAsia="zh-CN"/>
        </w:rPr>
        <w:t>质疑</w:t>
      </w:r>
    </w:p>
    <w:bookmarkEnd w:id="272"/>
    <w:bookmarkEnd w:id="276"/>
    <w:bookmarkEnd w:id="277"/>
    <w:bookmarkEnd w:id="278"/>
    <w:p w14:paraId="1F8553C8">
      <w:pPr>
        <w:shd w:val="clear"/>
        <w:spacing w:line="360" w:lineRule="auto"/>
        <w:ind w:firstLine="420" w:firstLineChars="200"/>
        <w:rPr>
          <w:rFonts w:ascii="宋体" w:hAnsi="宋体" w:cs="宋体"/>
          <w:color w:val="auto"/>
          <w:highlight w:val="none"/>
        </w:rPr>
      </w:pPr>
      <w:bookmarkStart w:id="279" w:name="_Toc152045580"/>
      <w:bookmarkStart w:id="280" w:name="_Toc179632598"/>
      <w:bookmarkStart w:id="281" w:name="_Toc144974547"/>
      <w:bookmarkStart w:id="282" w:name="_Toc152042357"/>
      <w:r>
        <w:rPr>
          <w:rFonts w:hint="eastAsia" w:ascii="宋体" w:hAnsi="宋体" w:cs="宋体"/>
          <w:color w:val="auto"/>
          <w:highlight w:val="none"/>
        </w:rPr>
        <w:t>投标人和其他利害关系人认为招标投标活动不符合法律、行政法规和规章规定的，可按照相关规定向招标人提出质疑。</w:t>
      </w:r>
    </w:p>
    <w:p w14:paraId="432F9A2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招标人不受理投标人逾期提出的质疑。</w:t>
      </w:r>
    </w:p>
    <w:p w14:paraId="375D0890">
      <w:pPr>
        <w:shd w:val="clear"/>
        <w:spacing w:line="360" w:lineRule="auto"/>
        <w:ind w:firstLine="422" w:firstLineChars="200"/>
        <w:outlineLvl w:val="1"/>
        <w:rPr>
          <w:rFonts w:ascii="宋体" w:hAnsi="宋体" w:cs="宋体"/>
          <w:b/>
          <w:bCs/>
          <w:color w:val="auto"/>
          <w:highlight w:val="none"/>
        </w:rPr>
      </w:pPr>
      <w:bookmarkStart w:id="283" w:name="_Toc487641640"/>
      <w:bookmarkStart w:id="284" w:name="_Toc493081615"/>
      <w:bookmarkStart w:id="285" w:name="_Toc487461301"/>
      <w:r>
        <w:rPr>
          <w:rFonts w:hint="eastAsia" w:ascii="宋体" w:hAnsi="宋体" w:cs="宋体"/>
          <w:b/>
          <w:bCs/>
          <w:color w:val="auto"/>
          <w:highlight w:val="none"/>
        </w:rPr>
        <w:t>10. 需要补充的其他内容</w:t>
      </w:r>
      <w:bookmarkEnd w:id="279"/>
      <w:bookmarkEnd w:id="280"/>
      <w:bookmarkEnd w:id="281"/>
      <w:bookmarkEnd w:id="282"/>
      <w:bookmarkEnd w:id="283"/>
      <w:bookmarkEnd w:id="284"/>
      <w:bookmarkEnd w:id="285"/>
    </w:p>
    <w:p w14:paraId="4A06062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需要补充的其他内容：见投标人须知前附表。</w:t>
      </w:r>
    </w:p>
    <w:p w14:paraId="579577DA">
      <w:pPr>
        <w:shd w:val="clear"/>
        <w:spacing w:line="360" w:lineRule="auto"/>
        <w:ind w:firstLine="422" w:firstLineChars="200"/>
        <w:outlineLvl w:val="1"/>
        <w:rPr>
          <w:rFonts w:ascii="宋体" w:hAnsi="宋体" w:cs="宋体"/>
          <w:b/>
          <w:bCs/>
          <w:color w:val="auto"/>
          <w:highlight w:val="none"/>
        </w:rPr>
      </w:pPr>
      <w:bookmarkStart w:id="286" w:name="_Toc493081616"/>
      <w:r>
        <w:rPr>
          <w:rFonts w:hint="eastAsia" w:ascii="宋体" w:hAnsi="宋体" w:cs="宋体"/>
          <w:b/>
          <w:bCs/>
          <w:color w:val="auto"/>
          <w:highlight w:val="none"/>
        </w:rPr>
        <w:t>11.本招标文件解释权</w:t>
      </w:r>
      <w:bookmarkEnd w:id="286"/>
    </w:p>
    <w:p w14:paraId="6FEDA7EF">
      <w:pPr>
        <w:shd w:val="clear"/>
        <w:spacing w:line="360" w:lineRule="auto"/>
        <w:ind w:firstLine="420" w:firstLineChars="200"/>
        <w:outlineLvl w:val="1"/>
        <w:rPr>
          <w:rFonts w:ascii="宋体" w:hAnsi="宋体" w:cs="宋体"/>
          <w:color w:val="auto"/>
          <w:highlight w:val="none"/>
        </w:rPr>
      </w:pPr>
      <w:r>
        <w:rPr>
          <w:rFonts w:hint="eastAsia" w:ascii="宋体" w:hAnsi="宋体" w:cs="宋体"/>
          <w:color w:val="auto"/>
          <w:highlight w:val="none"/>
        </w:rPr>
        <w:t>11.1本招标文件的解释权归招标人所有。</w:t>
      </w:r>
      <w:bookmarkStart w:id="287" w:name="_Toc152045598"/>
      <w:bookmarkStart w:id="288" w:name="_Toc342402139"/>
      <w:bookmarkStart w:id="289" w:name="_Toc144974565"/>
      <w:bookmarkStart w:id="290" w:name="_Toc434829626"/>
      <w:bookmarkStart w:id="291" w:name="_Toc152042375"/>
    </w:p>
    <w:p w14:paraId="643856BC">
      <w:pPr>
        <w:pStyle w:val="12"/>
        <w:shd w:val="clear"/>
        <w:ind w:left="0" w:leftChars="0" w:firstLine="0" w:firstLineChars="0"/>
        <w:rPr>
          <w:color w:val="auto"/>
          <w:highlight w:val="none"/>
        </w:rPr>
      </w:pPr>
    </w:p>
    <w:p w14:paraId="301B574C">
      <w:pPr>
        <w:shd w:val="clear"/>
        <w:spacing w:line="360" w:lineRule="auto"/>
        <w:jc w:val="center"/>
        <w:rPr>
          <w:rFonts w:hint="eastAsia" w:ascii="宋体" w:hAnsi="宋体" w:cs="宋体"/>
          <w:b/>
          <w:bCs/>
          <w:color w:val="auto"/>
          <w:sz w:val="32"/>
          <w:szCs w:val="32"/>
          <w:highlight w:val="none"/>
        </w:rPr>
      </w:pPr>
    </w:p>
    <w:p w14:paraId="1E3CD9D5">
      <w:pPr>
        <w:shd w:val="clear"/>
        <w:spacing w:line="360" w:lineRule="auto"/>
        <w:jc w:val="center"/>
        <w:rPr>
          <w:rFonts w:hint="eastAsia" w:ascii="宋体" w:hAnsi="宋体" w:cs="宋体"/>
          <w:b/>
          <w:bCs/>
          <w:color w:val="auto"/>
          <w:sz w:val="32"/>
          <w:szCs w:val="32"/>
          <w:highlight w:val="none"/>
        </w:rPr>
      </w:pPr>
    </w:p>
    <w:p w14:paraId="04673712">
      <w:pPr>
        <w:shd w:val="clear"/>
        <w:spacing w:line="360" w:lineRule="auto"/>
        <w:jc w:val="center"/>
        <w:rPr>
          <w:rFonts w:hint="eastAsia" w:ascii="宋体" w:hAnsi="宋体" w:cs="宋体"/>
          <w:b/>
          <w:bCs/>
          <w:color w:val="auto"/>
          <w:sz w:val="32"/>
          <w:szCs w:val="32"/>
          <w:highlight w:val="none"/>
        </w:rPr>
      </w:pPr>
    </w:p>
    <w:p w14:paraId="53FB6724">
      <w:pPr>
        <w:shd w:val="clear"/>
        <w:spacing w:line="360" w:lineRule="auto"/>
        <w:jc w:val="center"/>
        <w:rPr>
          <w:rFonts w:hint="eastAsia" w:ascii="宋体" w:hAnsi="宋体" w:cs="宋体"/>
          <w:b/>
          <w:bCs/>
          <w:color w:val="auto"/>
          <w:sz w:val="32"/>
          <w:szCs w:val="32"/>
          <w:highlight w:val="none"/>
        </w:rPr>
      </w:pPr>
    </w:p>
    <w:p w14:paraId="18910F63">
      <w:pPr>
        <w:shd w:val="clear"/>
        <w:spacing w:line="360" w:lineRule="auto"/>
        <w:jc w:val="center"/>
        <w:rPr>
          <w:rFonts w:hint="eastAsia" w:ascii="宋体" w:hAnsi="宋体" w:cs="宋体"/>
          <w:b/>
          <w:bCs/>
          <w:color w:val="auto"/>
          <w:sz w:val="32"/>
          <w:szCs w:val="32"/>
          <w:highlight w:val="none"/>
        </w:rPr>
      </w:pPr>
    </w:p>
    <w:p w14:paraId="13CDEC49">
      <w:pPr>
        <w:shd w:val="clear"/>
        <w:spacing w:line="360" w:lineRule="auto"/>
        <w:jc w:val="center"/>
        <w:rPr>
          <w:rFonts w:hint="eastAsia" w:ascii="宋体" w:hAnsi="宋体" w:cs="宋体"/>
          <w:b/>
          <w:bCs/>
          <w:color w:val="auto"/>
          <w:sz w:val="32"/>
          <w:szCs w:val="32"/>
          <w:highlight w:val="none"/>
        </w:rPr>
      </w:pPr>
    </w:p>
    <w:p w14:paraId="6AB67495">
      <w:pPr>
        <w:shd w:val="clear"/>
        <w:spacing w:line="360" w:lineRule="auto"/>
        <w:jc w:val="center"/>
        <w:rPr>
          <w:rFonts w:hint="eastAsia" w:ascii="宋体" w:hAnsi="宋体" w:cs="宋体"/>
          <w:b/>
          <w:bCs/>
          <w:color w:val="auto"/>
          <w:sz w:val="32"/>
          <w:szCs w:val="32"/>
          <w:highlight w:val="none"/>
        </w:rPr>
      </w:pPr>
    </w:p>
    <w:p w14:paraId="768F08E6">
      <w:pPr>
        <w:shd w:val="clear"/>
        <w:spacing w:line="360" w:lineRule="auto"/>
        <w:jc w:val="center"/>
        <w:rPr>
          <w:rFonts w:hint="eastAsia" w:ascii="宋体" w:hAnsi="宋体" w:cs="宋体"/>
          <w:b/>
          <w:bCs/>
          <w:color w:val="auto"/>
          <w:sz w:val="32"/>
          <w:szCs w:val="32"/>
          <w:highlight w:val="none"/>
        </w:rPr>
      </w:pPr>
    </w:p>
    <w:p w14:paraId="21FBABBF">
      <w:pPr>
        <w:shd w:val="clear"/>
        <w:spacing w:line="360" w:lineRule="auto"/>
        <w:jc w:val="center"/>
        <w:rPr>
          <w:rFonts w:hint="eastAsia" w:ascii="宋体" w:hAnsi="宋体" w:cs="宋体"/>
          <w:b/>
          <w:bCs/>
          <w:color w:val="auto"/>
          <w:sz w:val="32"/>
          <w:szCs w:val="32"/>
          <w:highlight w:val="none"/>
        </w:rPr>
      </w:pPr>
    </w:p>
    <w:p w14:paraId="19D3A915">
      <w:pPr>
        <w:shd w:val="clear"/>
        <w:spacing w:line="360" w:lineRule="auto"/>
        <w:jc w:val="center"/>
        <w:rPr>
          <w:rFonts w:hint="eastAsia" w:ascii="宋体" w:hAnsi="宋体" w:cs="宋体"/>
          <w:b/>
          <w:bCs/>
          <w:color w:val="auto"/>
          <w:sz w:val="32"/>
          <w:szCs w:val="32"/>
          <w:highlight w:val="none"/>
        </w:rPr>
      </w:pPr>
    </w:p>
    <w:p w14:paraId="3A25F75D">
      <w:pPr>
        <w:shd w:val="clear"/>
        <w:spacing w:line="360" w:lineRule="auto"/>
        <w:jc w:val="center"/>
        <w:rPr>
          <w:rFonts w:hint="eastAsia" w:ascii="宋体" w:hAnsi="宋体" w:cs="宋体"/>
          <w:b/>
          <w:bCs/>
          <w:color w:val="auto"/>
          <w:sz w:val="32"/>
          <w:szCs w:val="32"/>
          <w:highlight w:val="none"/>
        </w:rPr>
      </w:pPr>
    </w:p>
    <w:p w14:paraId="4AC97E18">
      <w:pPr>
        <w:shd w:val="clear"/>
        <w:spacing w:line="360" w:lineRule="auto"/>
        <w:jc w:val="center"/>
        <w:rPr>
          <w:rFonts w:hint="eastAsia" w:ascii="宋体" w:hAnsi="宋体" w:cs="宋体"/>
          <w:b/>
          <w:bCs/>
          <w:color w:val="auto"/>
          <w:sz w:val="32"/>
          <w:szCs w:val="32"/>
          <w:highlight w:val="none"/>
        </w:rPr>
      </w:pPr>
    </w:p>
    <w:p w14:paraId="4FC605C5">
      <w:pPr>
        <w:shd w:val="clear"/>
        <w:spacing w:line="360" w:lineRule="auto"/>
        <w:jc w:val="center"/>
        <w:rPr>
          <w:rFonts w:hint="eastAsia" w:ascii="宋体" w:hAnsi="宋体" w:cs="宋体"/>
          <w:b/>
          <w:bCs/>
          <w:color w:val="auto"/>
          <w:sz w:val="32"/>
          <w:szCs w:val="32"/>
          <w:highlight w:val="none"/>
        </w:rPr>
      </w:pPr>
    </w:p>
    <w:p w14:paraId="5AC4E569">
      <w:pPr>
        <w:shd w:val="clear"/>
        <w:spacing w:line="360" w:lineRule="auto"/>
        <w:jc w:val="center"/>
        <w:rPr>
          <w:rFonts w:hint="eastAsia" w:ascii="宋体" w:hAnsi="宋体" w:cs="宋体"/>
          <w:b/>
          <w:bCs/>
          <w:color w:val="auto"/>
          <w:sz w:val="32"/>
          <w:szCs w:val="32"/>
          <w:highlight w:val="none"/>
        </w:rPr>
      </w:pPr>
    </w:p>
    <w:p w14:paraId="474B49BB">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第三章 采购需求</w:t>
      </w:r>
    </w:p>
    <w:p w14:paraId="35578D5B">
      <w:pPr>
        <w:shd w:val="clear"/>
        <w:spacing w:line="360" w:lineRule="auto"/>
        <w:ind w:firstLine="437"/>
        <w:outlineLvl w:val="1"/>
        <w:rPr>
          <w:rFonts w:ascii="宋体" w:hAnsi="宋体" w:cs="@仿宋_GB2312"/>
          <w:b/>
          <w:color w:val="auto"/>
          <w:sz w:val="24"/>
          <w:szCs w:val="18"/>
          <w:highlight w:val="none"/>
        </w:rPr>
      </w:pPr>
      <w:bookmarkStart w:id="292" w:name="_Toc7699"/>
      <w:bookmarkStart w:id="293" w:name="_Toc26349"/>
      <w:r>
        <w:rPr>
          <w:rFonts w:hint="eastAsia" w:ascii="宋体" w:hAnsi="宋体" w:cs="@仿宋_GB2312"/>
          <w:b/>
          <w:color w:val="auto"/>
          <w:sz w:val="24"/>
          <w:szCs w:val="18"/>
          <w:highlight w:val="none"/>
        </w:rPr>
        <w:t>一、采购需求前附表</w:t>
      </w:r>
      <w:bookmarkEnd w:id="292"/>
      <w:bookmarkEnd w:id="293"/>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787"/>
        <w:gridCol w:w="5731"/>
      </w:tblGrid>
      <w:tr w14:paraId="486F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2E48F0B0">
            <w:pPr>
              <w:shd w:val="clear"/>
              <w:spacing w:line="360" w:lineRule="auto"/>
              <w:jc w:val="center"/>
              <w:rPr>
                <w:rFonts w:ascii="宋体" w:hAnsi="宋体" w:cs="@仿宋_GB2312"/>
                <w:b/>
                <w:color w:val="auto"/>
                <w:highlight w:val="none"/>
              </w:rPr>
            </w:pPr>
            <w:bookmarkStart w:id="294" w:name="_Hlk16461016"/>
            <w:r>
              <w:rPr>
                <w:rFonts w:hint="eastAsia" w:ascii="宋体" w:hAnsi="宋体" w:cs="@仿宋_GB2312"/>
                <w:b/>
                <w:color w:val="auto"/>
                <w:highlight w:val="none"/>
              </w:rPr>
              <w:t>序号</w:t>
            </w:r>
          </w:p>
        </w:tc>
        <w:tc>
          <w:tcPr>
            <w:tcW w:w="1048" w:type="pct"/>
            <w:vAlign w:val="center"/>
          </w:tcPr>
          <w:p w14:paraId="0853161E">
            <w:pPr>
              <w:shd w:val="clear"/>
              <w:spacing w:line="360" w:lineRule="auto"/>
              <w:jc w:val="center"/>
              <w:rPr>
                <w:rFonts w:ascii="宋体" w:hAnsi="宋体" w:cs="@仿宋_GB2312"/>
                <w:b/>
                <w:color w:val="auto"/>
                <w:kern w:val="0"/>
                <w:highlight w:val="none"/>
              </w:rPr>
            </w:pPr>
            <w:r>
              <w:rPr>
                <w:rFonts w:hint="eastAsia" w:ascii="宋体" w:hAnsi="宋体" w:cs="@仿宋_GB2312"/>
                <w:b/>
                <w:color w:val="auto"/>
                <w:kern w:val="0"/>
                <w:highlight w:val="none"/>
              </w:rPr>
              <w:t>条款名称</w:t>
            </w:r>
          </w:p>
        </w:tc>
        <w:tc>
          <w:tcPr>
            <w:tcW w:w="3361" w:type="pct"/>
            <w:vAlign w:val="center"/>
          </w:tcPr>
          <w:p w14:paraId="12A3B563">
            <w:pPr>
              <w:shd w:val="clear"/>
              <w:spacing w:line="360" w:lineRule="auto"/>
              <w:jc w:val="center"/>
              <w:rPr>
                <w:rFonts w:ascii="宋体" w:hAnsi="宋体" w:cs="@仿宋_GB2312"/>
                <w:b/>
                <w:color w:val="auto"/>
                <w:kern w:val="0"/>
                <w:highlight w:val="none"/>
              </w:rPr>
            </w:pPr>
            <w:r>
              <w:rPr>
                <w:rFonts w:hint="eastAsia" w:ascii="宋体" w:hAnsi="宋体" w:cs="@仿宋_GB2312"/>
                <w:b/>
                <w:color w:val="auto"/>
                <w:kern w:val="0"/>
                <w:highlight w:val="none"/>
              </w:rPr>
              <w:t>内容、说明与要求</w:t>
            </w:r>
          </w:p>
        </w:tc>
      </w:tr>
      <w:tr w14:paraId="6B3C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4A3D95E7">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1</w:t>
            </w:r>
          </w:p>
        </w:tc>
        <w:tc>
          <w:tcPr>
            <w:tcW w:w="1048" w:type="pct"/>
            <w:vAlign w:val="center"/>
          </w:tcPr>
          <w:p w14:paraId="2DD251B4">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付款方式</w:t>
            </w:r>
          </w:p>
        </w:tc>
        <w:tc>
          <w:tcPr>
            <w:tcW w:w="3361" w:type="pct"/>
          </w:tcPr>
          <w:p w14:paraId="6083B85C">
            <w:pPr>
              <w:shd w:val="clear"/>
              <w:autoSpaceDE w:val="0"/>
              <w:autoSpaceDN w:val="0"/>
              <w:spacing w:line="360" w:lineRule="auto"/>
              <w:jc w:val="left"/>
              <w:rPr>
                <w:rFonts w:hint="eastAsia" w:ascii="宋体" w:hAnsi="宋体" w:eastAsia="宋体" w:cs="@仿宋_GB2312"/>
                <w:bCs/>
                <w:color w:val="auto"/>
                <w:kern w:val="0"/>
                <w:highlight w:val="none"/>
                <w:lang w:eastAsia="zh-CN"/>
              </w:rPr>
            </w:pPr>
            <w:r>
              <w:rPr>
                <w:rFonts w:hint="eastAsia" w:ascii="宋体" w:hAnsi="宋体" w:cs="宋体"/>
                <w:bCs/>
                <w:sz w:val="24"/>
                <w:szCs w:val="24"/>
                <w:shd w:val="clear" w:color="auto" w:fill="FFFFFF"/>
                <w:lang w:bidi="ar"/>
              </w:rPr>
              <w:t>根据具体项目实际情况在</w:t>
            </w:r>
            <w:r>
              <w:rPr>
                <w:rFonts w:hint="eastAsia" w:ascii="宋体" w:hAnsi="宋体" w:cs="宋体"/>
                <w:bCs/>
                <w:sz w:val="24"/>
                <w:szCs w:val="24"/>
                <w:shd w:val="clear" w:color="auto" w:fill="FFFFFF"/>
                <w:lang w:val="en-US" w:eastAsia="zh-CN" w:bidi="ar"/>
              </w:rPr>
              <w:t>签署具体服务合同时</w:t>
            </w:r>
            <w:r>
              <w:rPr>
                <w:rFonts w:hint="eastAsia" w:ascii="宋体" w:hAnsi="宋体" w:cs="宋体"/>
                <w:bCs/>
                <w:sz w:val="24"/>
                <w:szCs w:val="24"/>
                <w:shd w:val="clear" w:color="auto" w:fill="FFFFFF"/>
                <w:lang w:bidi="ar"/>
              </w:rPr>
              <w:t>另行约定</w:t>
            </w:r>
            <w:r>
              <w:rPr>
                <w:rFonts w:hint="eastAsia" w:ascii="宋体" w:hAnsi="宋体" w:cs="@仿宋_GB2312"/>
                <w:bCs/>
                <w:color w:val="auto"/>
                <w:kern w:val="0"/>
                <w:highlight w:val="none"/>
                <w:lang w:eastAsia="zh-CN"/>
              </w:rPr>
              <w:t>。</w:t>
            </w:r>
          </w:p>
        </w:tc>
      </w:tr>
      <w:tr w14:paraId="3EB0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338EB62B">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2</w:t>
            </w:r>
          </w:p>
        </w:tc>
        <w:tc>
          <w:tcPr>
            <w:tcW w:w="1048" w:type="pct"/>
            <w:vAlign w:val="center"/>
          </w:tcPr>
          <w:p w14:paraId="63463ADA">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服务地点</w:t>
            </w:r>
          </w:p>
        </w:tc>
        <w:tc>
          <w:tcPr>
            <w:tcW w:w="3361" w:type="pct"/>
          </w:tcPr>
          <w:p w14:paraId="23DAF13E">
            <w:pPr>
              <w:shd w:val="clear"/>
              <w:autoSpaceDE w:val="0"/>
              <w:autoSpaceDN w:val="0"/>
              <w:spacing w:line="360" w:lineRule="auto"/>
              <w:jc w:val="left"/>
              <w:rPr>
                <w:rFonts w:ascii="宋体" w:hAnsi="宋体" w:cs="@仿宋_GB2312"/>
                <w:bCs/>
                <w:color w:val="auto"/>
                <w:kern w:val="0"/>
                <w:highlight w:val="none"/>
              </w:rPr>
            </w:pPr>
            <w:r>
              <w:rPr>
                <w:rFonts w:hint="eastAsia" w:ascii="宋体" w:hAnsi="宋体" w:cs="@仿宋_GB2312"/>
                <w:bCs/>
                <w:color w:val="auto"/>
                <w:kern w:val="0"/>
                <w:highlight w:val="none"/>
              </w:rPr>
              <w:t>招标人指定地点。</w:t>
            </w:r>
          </w:p>
        </w:tc>
      </w:tr>
      <w:tr w14:paraId="0A14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jc w:val="center"/>
        </w:trPr>
        <w:tc>
          <w:tcPr>
            <w:tcW w:w="589" w:type="pct"/>
            <w:vAlign w:val="center"/>
          </w:tcPr>
          <w:p w14:paraId="33326522">
            <w:pPr>
              <w:shd w:val="clear"/>
              <w:spacing w:line="360" w:lineRule="auto"/>
              <w:jc w:val="center"/>
              <w:rPr>
                <w:rFonts w:ascii="宋体" w:hAnsi="宋体" w:cs="@仿宋_GB2312"/>
                <w:bCs/>
                <w:color w:val="auto"/>
                <w:highlight w:val="none"/>
              </w:rPr>
            </w:pPr>
            <w:r>
              <w:rPr>
                <w:rFonts w:hint="eastAsia" w:ascii="宋体" w:hAnsi="宋体" w:cs="@仿宋_GB2312"/>
                <w:bCs/>
                <w:color w:val="auto"/>
                <w:highlight w:val="none"/>
              </w:rPr>
              <w:t>3</w:t>
            </w:r>
          </w:p>
        </w:tc>
        <w:tc>
          <w:tcPr>
            <w:tcW w:w="1048" w:type="pct"/>
            <w:vAlign w:val="center"/>
          </w:tcPr>
          <w:p w14:paraId="3BF37372">
            <w:pPr>
              <w:shd w:val="clear"/>
              <w:spacing w:line="360" w:lineRule="auto"/>
              <w:jc w:val="center"/>
              <w:rPr>
                <w:rFonts w:ascii="宋体" w:hAnsi="宋体" w:cs="@仿宋_GB2312"/>
                <w:bCs/>
                <w:color w:val="auto"/>
                <w:kern w:val="0"/>
                <w:highlight w:val="none"/>
              </w:rPr>
            </w:pPr>
            <w:r>
              <w:rPr>
                <w:rFonts w:hint="eastAsia" w:ascii="宋体" w:hAnsi="宋体" w:cs="@仿宋_GB2312"/>
                <w:bCs/>
                <w:color w:val="auto"/>
                <w:kern w:val="0"/>
                <w:highlight w:val="none"/>
              </w:rPr>
              <w:t>服务期限</w:t>
            </w:r>
          </w:p>
        </w:tc>
        <w:tc>
          <w:tcPr>
            <w:tcW w:w="3361" w:type="pct"/>
          </w:tcPr>
          <w:p w14:paraId="0D07C568">
            <w:pPr>
              <w:shd w:val="clear"/>
              <w:snapToGrid w:val="0"/>
              <w:spacing w:before="100" w:beforeAutospacing="1" w:after="100" w:afterAutospacing="1" w:line="360" w:lineRule="auto"/>
              <w:ind w:firstLine="420" w:firstLineChars="200"/>
              <w:rPr>
                <w:rFonts w:ascii="宋体" w:hAnsi="宋体" w:cs="@仿宋_GB2312"/>
                <w:bCs/>
                <w:color w:val="auto"/>
                <w:kern w:val="0"/>
                <w:highlight w:val="none"/>
              </w:rPr>
            </w:pPr>
            <w:r>
              <w:rPr>
                <w:rFonts w:hint="eastAsia" w:ascii="宋体" w:hAnsi="宋体" w:cs="@仿宋_GB2312"/>
                <w:bCs/>
                <w:color w:val="auto"/>
                <w:kern w:val="0"/>
                <w:highlight w:val="none"/>
                <w:lang w:eastAsia="zh-CN"/>
              </w:rPr>
              <w:t>3年（自签订入库协议之日起计算）。招标人采取考评淘汰制及出现重大失误淘汰制，每年考评一次。招标人采取考评淘汰制及出现重大失误淘汰制，每年考评一次。</w:t>
            </w:r>
            <w:r>
              <w:rPr>
                <w:rFonts w:hint="eastAsia" w:ascii="宋体" w:hAnsi="宋体" w:cs="@仿宋_GB2312"/>
                <w:bCs/>
                <w:color w:val="auto"/>
                <w:kern w:val="0"/>
                <w:highlight w:val="none"/>
              </w:rPr>
              <w:t>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w:t>
            </w:r>
          </w:p>
        </w:tc>
      </w:tr>
      <w:tr w14:paraId="55DB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55C4DDC6">
            <w:pPr>
              <w:shd w:val="clear"/>
              <w:spacing w:line="360" w:lineRule="auto"/>
              <w:jc w:val="center"/>
              <w:rPr>
                <w:rFonts w:ascii="宋体" w:hAnsi="宋体" w:cs="@仿宋_GB2312"/>
                <w:bCs/>
                <w:color w:val="auto"/>
                <w:highlight w:val="none"/>
              </w:rPr>
            </w:pPr>
            <w:bookmarkStart w:id="295" w:name="_Toc23116"/>
            <w:bookmarkStart w:id="296" w:name="_Toc25144"/>
            <w:r>
              <w:rPr>
                <w:rFonts w:hint="eastAsia" w:ascii="宋体" w:hAnsi="宋体" w:cs="@仿宋_GB2312"/>
                <w:bCs/>
                <w:color w:val="auto"/>
                <w:highlight w:val="none"/>
              </w:rPr>
              <w:t>4</w:t>
            </w:r>
          </w:p>
        </w:tc>
        <w:tc>
          <w:tcPr>
            <w:tcW w:w="1048" w:type="pct"/>
            <w:vAlign w:val="center"/>
          </w:tcPr>
          <w:p w14:paraId="1AEF8012">
            <w:pPr>
              <w:shd w:val="clear"/>
              <w:spacing w:line="360" w:lineRule="auto"/>
              <w:jc w:val="center"/>
              <w:rPr>
                <w:rFonts w:hint="eastAsia" w:ascii="宋体" w:hAnsi="宋体" w:eastAsia="宋体" w:cs="@仿宋_GB2312"/>
                <w:bCs/>
                <w:color w:val="auto"/>
                <w:kern w:val="0"/>
                <w:highlight w:val="none"/>
                <w:lang w:eastAsia="zh-CN"/>
              </w:rPr>
            </w:pPr>
            <w:r>
              <w:rPr>
                <w:rFonts w:hint="eastAsia" w:ascii="宋体" w:hAnsi="宋体" w:cs="@仿宋_GB2312"/>
                <w:bCs/>
                <w:color w:val="auto"/>
                <w:kern w:val="0"/>
                <w:highlight w:val="none"/>
                <w:lang w:eastAsia="zh-CN"/>
              </w:rPr>
              <w:t>服务要求</w:t>
            </w:r>
          </w:p>
        </w:tc>
        <w:tc>
          <w:tcPr>
            <w:tcW w:w="3361" w:type="pct"/>
          </w:tcPr>
          <w:p w14:paraId="44FEDDCC">
            <w:pPr>
              <w:shd w:val="clear"/>
              <w:autoSpaceDE w:val="0"/>
              <w:autoSpaceDN w:val="0"/>
              <w:spacing w:line="360" w:lineRule="auto"/>
              <w:jc w:val="left"/>
              <w:rPr>
                <w:rFonts w:hint="eastAsia" w:ascii="宋体" w:hAnsi="宋体" w:eastAsia="宋体" w:cs="@仿宋_GB2312"/>
                <w:bCs/>
                <w:color w:val="auto"/>
                <w:kern w:val="0"/>
                <w:highlight w:val="none"/>
                <w:lang w:eastAsia="zh-CN"/>
              </w:rPr>
            </w:pPr>
            <w:r>
              <w:rPr>
                <w:rFonts w:hint="eastAsia" w:ascii="宋体" w:hAnsi="宋体" w:cs="@仿宋_GB2312"/>
                <w:bCs/>
                <w:color w:val="auto"/>
                <w:kern w:val="0"/>
                <w:highlight w:val="none"/>
                <w:lang w:eastAsia="zh-CN"/>
              </w:rPr>
              <w:t>严格执行《建设项目工程结算编审规程》CECA/GC3-2010，《建设工程造价咨询成果文件质量标准》CECA/GC7-2012__及采购人和相关部门要求</w:t>
            </w:r>
          </w:p>
        </w:tc>
      </w:tr>
    </w:tbl>
    <w:p w14:paraId="3D961BCC">
      <w:pPr>
        <w:shd w:val="clear"/>
        <w:spacing w:line="360" w:lineRule="auto"/>
        <w:ind w:firstLine="437"/>
        <w:outlineLvl w:val="1"/>
        <w:rPr>
          <w:rFonts w:ascii="宋体" w:hAnsi="宋体" w:cs="@仿宋_GB2312"/>
          <w:b/>
          <w:color w:val="auto"/>
          <w:sz w:val="24"/>
          <w:szCs w:val="24"/>
          <w:highlight w:val="none"/>
        </w:rPr>
      </w:pPr>
      <w:r>
        <w:rPr>
          <w:rFonts w:hint="eastAsia" w:ascii="宋体" w:hAnsi="宋体" w:cs="@仿宋_GB2312"/>
          <w:b/>
          <w:color w:val="auto"/>
          <w:sz w:val="24"/>
          <w:szCs w:val="24"/>
          <w:highlight w:val="none"/>
        </w:rPr>
        <w:t>二、项目概况</w:t>
      </w:r>
      <w:bookmarkEnd w:id="295"/>
      <w:bookmarkEnd w:id="296"/>
    </w:p>
    <w:p w14:paraId="3ECDF50D">
      <w:pPr>
        <w:shd w:val="clear"/>
        <w:spacing w:line="360" w:lineRule="auto"/>
        <w:ind w:firstLine="437"/>
        <w:outlineLvl w:val="1"/>
        <w:rPr>
          <w:rFonts w:ascii="宋体" w:hAnsi="宋体" w:cs="@仿宋_GB2312"/>
          <w:bCs/>
          <w:color w:val="auto"/>
          <w:highlight w:val="none"/>
        </w:rPr>
      </w:pPr>
      <w:bookmarkStart w:id="297" w:name="_Toc8586"/>
      <w:bookmarkStart w:id="298" w:name="_Toc21757"/>
      <w:r>
        <w:rPr>
          <w:rFonts w:hint="eastAsia" w:ascii="宋体" w:hAnsi="宋体" w:cs="@仿宋_GB2312"/>
          <w:bCs/>
          <w:color w:val="auto"/>
          <w:highlight w:val="none"/>
        </w:rPr>
        <w:t>拟选取</w:t>
      </w:r>
      <w:r>
        <w:rPr>
          <w:rFonts w:ascii="宋体" w:hAnsi="宋体" w:cs="@仿宋_GB2312"/>
          <w:bCs/>
          <w:color w:val="auto"/>
          <w:highlight w:val="none"/>
        </w:rPr>
        <w:t>5</w:t>
      </w:r>
      <w:r>
        <w:rPr>
          <w:rFonts w:hint="eastAsia" w:ascii="宋体" w:hAnsi="宋体" w:cs="@仿宋_GB2312"/>
          <w:bCs/>
          <w:color w:val="auto"/>
          <w:highlight w:val="none"/>
        </w:rPr>
        <w:t>家供应商，负责</w:t>
      </w:r>
      <w:r>
        <w:rPr>
          <w:rFonts w:hint="eastAsia" w:ascii="宋体" w:hAnsi="宋体" w:cs="@仿宋_GB2312"/>
          <w:bCs/>
          <w:color w:val="auto"/>
          <w:highlight w:val="none"/>
          <w:lang w:val="en-US" w:eastAsia="zh-CN"/>
        </w:rPr>
        <w:t>为</w:t>
      </w:r>
      <w:r>
        <w:rPr>
          <w:rFonts w:hint="eastAsia" w:ascii="宋体" w:hAnsi="宋体" w:cs="@仿宋_GB2312"/>
          <w:bCs/>
          <w:color w:val="auto"/>
          <w:highlight w:val="none"/>
        </w:rPr>
        <w:t>阜阳投资发展集团有限公司及所属子公司</w:t>
      </w:r>
      <w:r>
        <w:rPr>
          <w:rFonts w:hint="eastAsia" w:ascii="宋体" w:hAnsi="宋体" w:cs="@仿宋_GB2312"/>
          <w:bCs/>
          <w:color w:val="auto"/>
          <w:highlight w:val="none"/>
          <w:lang w:eastAsia="zh-CN"/>
        </w:rPr>
        <w:t>提供建设项目全周期造价咨询，包含估算、概算、预算、清单及控制价编制审核、竣工结算审核、</w:t>
      </w:r>
      <w:r>
        <w:rPr>
          <w:rFonts w:hint="eastAsia" w:ascii="宋体" w:hAnsi="宋体" w:cs="@仿宋_GB2312"/>
          <w:bCs/>
          <w:color w:val="auto"/>
          <w:highlight w:val="none"/>
          <w:lang w:val="en-US" w:eastAsia="zh-CN"/>
        </w:rPr>
        <w:t>跟踪审计</w:t>
      </w:r>
      <w:r>
        <w:rPr>
          <w:rFonts w:hint="eastAsia" w:ascii="宋体" w:hAnsi="宋体" w:cs="@仿宋_GB2312"/>
          <w:bCs/>
          <w:color w:val="auto"/>
          <w:highlight w:val="none"/>
          <w:lang w:eastAsia="zh-CN"/>
        </w:rPr>
        <w:t>等服务</w:t>
      </w:r>
      <w:r>
        <w:rPr>
          <w:rFonts w:hint="eastAsia" w:ascii="宋体" w:hAnsi="宋体" w:cs="@仿宋_GB2312"/>
          <w:bCs/>
          <w:color w:val="auto"/>
          <w:highlight w:val="none"/>
        </w:rPr>
        <w:t>。</w:t>
      </w:r>
    </w:p>
    <w:p w14:paraId="0CA09A9B">
      <w:pPr>
        <w:numPr>
          <w:ilvl w:val="0"/>
          <w:numId w:val="2"/>
        </w:numPr>
        <w:shd w:val="clear"/>
        <w:spacing w:line="360" w:lineRule="auto"/>
        <w:ind w:firstLine="437"/>
        <w:outlineLvl w:val="1"/>
        <w:rPr>
          <w:rStyle w:val="17"/>
          <w:color w:val="auto"/>
          <w:sz w:val="24"/>
          <w:szCs w:val="24"/>
          <w:highlight w:val="none"/>
        </w:rPr>
      </w:pPr>
      <w:r>
        <w:rPr>
          <w:rFonts w:hint="eastAsia" w:ascii="宋体" w:hAnsi="宋体" w:cs="@仿宋_GB2312"/>
          <w:b/>
          <w:color w:val="auto"/>
          <w:sz w:val="24"/>
          <w:szCs w:val="24"/>
          <w:highlight w:val="none"/>
        </w:rPr>
        <w:t>服务需求</w:t>
      </w:r>
      <w:bookmarkEnd w:id="297"/>
      <w:bookmarkEnd w:id="298"/>
      <w:bookmarkStart w:id="299" w:name="_Toc18052"/>
      <w:bookmarkStart w:id="300" w:name="_Toc12910"/>
    </w:p>
    <w:bookmarkEnd w:id="299"/>
    <w:bookmarkEnd w:id="300"/>
    <w:p w14:paraId="61CE12E4">
      <w:pPr>
        <w:shd w:val="clear"/>
        <w:spacing w:line="360" w:lineRule="auto"/>
        <w:ind w:firstLine="437"/>
        <w:outlineLvl w:val="1"/>
        <w:rPr>
          <w:rFonts w:hint="eastAsia" w:ascii="宋体" w:hAnsi="宋体" w:cs="@仿宋_GB2312"/>
          <w:b w:val="0"/>
          <w:bCs/>
          <w:color w:val="auto"/>
          <w:sz w:val="24"/>
          <w:szCs w:val="24"/>
          <w:highlight w:val="none"/>
          <w:lang w:eastAsia="zh-CN"/>
        </w:rPr>
      </w:pPr>
      <w:bookmarkStart w:id="301" w:name="_Toc23590"/>
      <w:bookmarkStart w:id="302" w:name="_Toc3530"/>
      <w:r>
        <w:rPr>
          <w:rFonts w:hint="eastAsia" w:ascii="宋体" w:hAnsi="宋体" w:cs="@仿宋_GB2312"/>
          <w:b w:val="0"/>
          <w:bCs/>
          <w:color w:val="auto"/>
          <w:sz w:val="24"/>
          <w:szCs w:val="24"/>
          <w:highlight w:val="none"/>
          <w:lang w:eastAsia="zh-CN"/>
        </w:rPr>
        <w:t>3.1中标人应严格按照相关法律法规、文件，履行必要的执业程序，不得从事违背法律法规及采购人相关管理规定和损害采购人利益的活动，一经发现，采购人有权解除合同并追究其法律责任，造成采购人损失的，应承担由此造成采购人的全部损失。</w:t>
      </w:r>
    </w:p>
    <w:p w14:paraId="783D6F32">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3.2中标人在服务过程中，在接到采购人到现场服务的通知后，入库单位在接到采购人通知后4小时内作出响应，并在采购人指定的时间内到达服务现场进行服务，如在一年内出现两次以上不认真响应采购人要求或者拒绝承接项目的，采购人将不予退还其履约保证金，有权清除出库。具体监督考核办法按照采购人的有关规定执行。</w:t>
      </w:r>
    </w:p>
    <w:p w14:paraId="5F101008">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3.3中标人须根据国家有关政策、法律、法规，本着独立、公正、科学的原则，运用合理的技能，谨慎而勤奋地工作，编制的成果文件应满足国家有关单位对此类文件的深度要求，并对成果文件的准确性、真实性、可靠性负责。</w:t>
      </w:r>
    </w:p>
    <w:p w14:paraId="2DD23945">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3.4中标人负责对采购人提供的资料、数据等保密，未经采购人书面同意不得向任何第三方提供与本业务有关的任何资料；中标人须对其成果文件中相关内容的真实性、合法性、可行性负责。</w:t>
      </w:r>
    </w:p>
    <w:p w14:paraId="4B7732C9">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3.5成果文件应装订编制，按相关要求递交份数，并保证美观；编制任务结束后应保证采购人能随时与其联系，全力配合采购人交办工作。</w:t>
      </w:r>
    </w:p>
    <w:p w14:paraId="2D5FE144">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3.6因中标人原因导致服务成果未经采购人认可，则采购人不支付给中标人任何费用。</w:t>
      </w:r>
    </w:p>
    <w:p w14:paraId="5DF2F2AD">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3.7考勤、处罚相关条款</w:t>
      </w:r>
    </w:p>
    <w:p w14:paraId="469CD9EB">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3.7.1抽中的单位必须在规定时间内响应采购人要求，并及时提供服务，否则采购人将取消抽取结果。</w:t>
      </w:r>
    </w:p>
    <w:p w14:paraId="0AD40B64">
      <w:pPr>
        <w:shd w:val="clear"/>
        <w:spacing w:line="360" w:lineRule="auto"/>
        <w:ind w:firstLine="437"/>
        <w:outlineLvl w:val="1"/>
        <w:rPr>
          <w:rFonts w:hint="eastAsia" w:ascii="宋体" w:hAnsi="宋体" w:cs="@仿宋_GB2312"/>
          <w:b w:val="0"/>
          <w:bCs/>
          <w:color w:val="auto"/>
          <w:sz w:val="24"/>
          <w:szCs w:val="24"/>
          <w:highlight w:val="none"/>
          <w:lang w:eastAsia="zh-CN"/>
        </w:rPr>
      </w:pPr>
      <w:r>
        <w:rPr>
          <w:rFonts w:hint="eastAsia" w:ascii="宋体" w:hAnsi="宋体" w:cs="@仿宋_GB2312"/>
          <w:b w:val="0"/>
          <w:bCs/>
          <w:color w:val="auto"/>
          <w:sz w:val="24"/>
          <w:szCs w:val="24"/>
          <w:highlight w:val="none"/>
          <w:lang w:eastAsia="zh-CN"/>
        </w:rPr>
        <w:t>3.7.2中标人不能及时参加项目抽取会议，或抽中后放弃服务的，或中标人在签署具体服务合同中，不接受招标文件、投标文件及具体合同约定内容的，视为其自动放弃单位入库资格，且本协议终止。</w:t>
      </w:r>
    </w:p>
    <w:p w14:paraId="111E88EB">
      <w:pPr>
        <w:shd w:val="clear"/>
        <w:spacing w:line="360" w:lineRule="auto"/>
        <w:ind w:firstLine="437"/>
        <w:outlineLvl w:val="1"/>
        <w:rPr>
          <w:rFonts w:ascii="宋体" w:hAnsi="宋体" w:cs="@仿宋_GB2312"/>
          <w:b/>
          <w:color w:val="auto"/>
          <w:sz w:val="24"/>
          <w:szCs w:val="24"/>
          <w:highlight w:val="none"/>
        </w:rPr>
      </w:pPr>
      <w:r>
        <w:rPr>
          <w:rFonts w:hint="eastAsia" w:ascii="宋体" w:hAnsi="宋体" w:cs="@仿宋_GB2312"/>
          <w:b/>
          <w:color w:val="auto"/>
          <w:sz w:val="24"/>
          <w:szCs w:val="24"/>
          <w:highlight w:val="none"/>
          <w:lang w:eastAsia="zh-CN"/>
        </w:rPr>
        <w:t>四</w:t>
      </w:r>
      <w:r>
        <w:rPr>
          <w:rFonts w:hint="eastAsia" w:ascii="宋体" w:hAnsi="宋体" w:cs="@仿宋_GB2312"/>
          <w:b/>
          <w:color w:val="auto"/>
          <w:sz w:val="24"/>
          <w:szCs w:val="24"/>
          <w:highlight w:val="none"/>
        </w:rPr>
        <w:t>、其他要求</w:t>
      </w:r>
      <w:bookmarkEnd w:id="301"/>
      <w:bookmarkEnd w:id="302"/>
    </w:p>
    <w:bookmarkEnd w:id="294"/>
    <w:p w14:paraId="7CB45490">
      <w:pPr>
        <w:pStyle w:val="12"/>
        <w:shd w:val="clear"/>
        <w:spacing w:line="360" w:lineRule="auto"/>
        <w:ind w:left="479" w:leftChars="228" w:firstLine="0" w:firstLineChars="0"/>
        <w:rPr>
          <w:rFonts w:ascii="宋体" w:hAnsi="宋体" w:cs="宋体"/>
          <w:bCs/>
          <w:color w:val="auto"/>
          <w:highlight w:val="none"/>
        </w:rPr>
      </w:pPr>
      <w:r>
        <w:rPr>
          <w:rFonts w:hint="eastAsia" w:ascii="宋体" w:hAnsi="宋体" w:cs="宋体"/>
          <w:bCs/>
          <w:color w:val="auto"/>
          <w:highlight w:val="none"/>
        </w:rPr>
        <w:t>1.投标人应根据项目实际需要配备</w:t>
      </w:r>
      <w:r>
        <w:rPr>
          <w:rFonts w:hint="eastAsia" w:ascii="宋体" w:hAnsi="宋体" w:cs="宋体"/>
          <w:bCs/>
          <w:color w:val="auto"/>
          <w:highlight w:val="none"/>
          <w:lang w:eastAsia="zh-CN"/>
        </w:rPr>
        <w:t>项目团队</w:t>
      </w:r>
      <w:r>
        <w:rPr>
          <w:rFonts w:hint="eastAsia" w:ascii="宋体" w:hAnsi="宋体" w:cs="宋体"/>
          <w:bCs/>
          <w:color w:val="auto"/>
          <w:highlight w:val="none"/>
        </w:rPr>
        <w:t>人员</w:t>
      </w:r>
      <w:r>
        <w:rPr>
          <w:rFonts w:hint="eastAsia" w:ascii="宋体" w:hAnsi="宋体" w:cs="宋体"/>
          <w:bCs/>
          <w:color w:val="auto"/>
          <w:highlight w:val="none"/>
          <w:lang w:eastAsia="zh-CN"/>
        </w:rPr>
        <w:t>：</w:t>
      </w:r>
    </w:p>
    <w:p w14:paraId="666C83F4">
      <w:pPr>
        <w:pStyle w:val="12"/>
        <w:shd w:val="clear"/>
        <w:spacing w:line="360" w:lineRule="auto"/>
        <w:ind w:left="0" w:firstLine="420" w:firstLineChars="200"/>
      </w:pPr>
      <w:r>
        <w:rPr>
          <w:rFonts w:hint="eastAsia" w:ascii="宋体" w:hAnsi="宋体" w:cs="宋体"/>
          <w:bCs/>
          <w:color w:val="auto"/>
          <w:highlight w:val="none"/>
        </w:rPr>
        <w:t>本项目要求拟投入人员不得少于</w:t>
      </w:r>
      <w:r>
        <w:rPr>
          <w:rFonts w:hint="eastAsia" w:ascii="宋体" w:hAnsi="宋体" w:cs="宋体"/>
          <w:bCs/>
          <w:color w:val="auto"/>
          <w:highlight w:val="none"/>
          <w:lang w:val="en-US" w:eastAsia="zh-CN"/>
        </w:rPr>
        <w:t>6</w:t>
      </w:r>
      <w:r>
        <w:rPr>
          <w:rFonts w:hint="eastAsia" w:ascii="宋体" w:hAnsi="宋体" w:cs="宋体"/>
          <w:bCs/>
          <w:color w:val="auto"/>
          <w:highlight w:val="none"/>
        </w:rPr>
        <w:t>人，其中项目负责人1人</w:t>
      </w:r>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需具有一级注册造价工程师和工程类高级工程师及以上职称证书。（须提供注册证书复印件、执业资格证书复印件、职称证书复印件、造价工程师注册信息查询网页截图及自招标公告发布之日起向前追溯一年内连续6个月的社保证明材料</w:t>
      </w:r>
      <w:r>
        <w:rPr>
          <w:rFonts w:hint="eastAsia" w:ascii="宋体" w:hAnsi="宋体" w:cs="宋体"/>
          <w:bCs/>
          <w:color w:val="auto"/>
          <w:highlight w:val="none"/>
        </w:rPr>
        <w:t>），团队成员</w:t>
      </w:r>
      <w:r>
        <w:rPr>
          <w:rFonts w:hint="eastAsia" w:ascii="宋体" w:hAnsi="宋体" w:cs="宋体"/>
          <w:bCs/>
          <w:color w:val="auto"/>
          <w:highlight w:val="none"/>
          <w:lang w:val="en-US" w:eastAsia="zh-CN"/>
        </w:rPr>
        <w:t>不少于5人，需有一级注册造价工程师资格证书和工程类中级及以上职称证书。（须提供注册证书复印件、执业资格证书复印件、职称证书复印件、造价工程师注册信息查询网页截图及自招标公告发布之日起向前追溯一年内连续6个月的社保证明材料）。</w:t>
      </w:r>
    </w:p>
    <w:p w14:paraId="28A1A7C3">
      <w:pPr>
        <w:pStyle w:val="12"/>
        <w:shd w:val="clear"/>
        <w:spacing w:line="360" w:lineRule="auto"/>
        <w:ind w:left="0" w:firstLine="420" w:firstLineChars="200"/>
        <w:rPr>
          <w:rFonts w:hint="eastAsia"/>
          <w:lang w:val="en-US" w:eastAsia="zh-CN"/>
        </w:rPr>
      </w:pPr>
      <w:r>
        <w:rPr>
          <w:rFonts w:hint="eastAsia"/>
          <w:lang w:val="en-US" w:eastAsia="zh-CN"/>
        </w:rPr>
        <w:t>企业业绩：近三年（自公告发布之日起向前追溯三年）至少完成过1个单项投资金额达到5亿元及以上的市政或房屋建筑工程项目清单及控制价编制业绩；（须提供咨询合同复印件、最高投标限价及成果文件备案登记表（须加盖工程造价咨询单位、招标人、备案管理部门印章，否则不作为有效业绩）复印件，且上述证明材料中委托人须对应，时间以合同签订时间为准，单项投资金额以成果文件中载明的金额为准。）</w:t>
      </w:r>
    </w:p>
    <w:p w14:paraId="0D701D64">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lang w:val="en-US" w:eastAsia="zh-CN"/>
        </w:rPr>
        <w:t>2.</w:t>
      </w:r>
      <w:r>
        <w:rPr>
          <w:rFonts w:hint="eastAsia" w:ascii="宋体" w:hAnsi="宋体" w:cs="宋体"/>
          <w:bCs/>
          <w:color w:val="auto"/>
          <w:highlight w:val="none"/>
        </w:rPr>
        <w:t>合同授予原则</w:t>
      </w:r>
    </w:p>
    <w:p w14:paraId="20E71171">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rPr>
        <w:t>在入库框架协议期限内，按照项目受理的时间次序，有项目A、项目B，项目C……项目A由采购人从该库中所有入库单位中随机抽取1家，项目B从该库中所有入库单位前一次未被抽中的单位中按上述方式继续进行，项目C则从该库中所有入库单位前两次均未被抽中的单位中继续进行，依次类推，该库所有入库单位抽完后重新开始新一轮抽签，抽签规则不变。</w:t>
      </w:r>
    </w:p>
    <w:p w14:paraId="500A9767">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rPr>
        <w:t>特殊项目可由采购人根据投标人实力、考核结果和项目实际需求推荐。</w:t>
      </w:r>
    </w:p>
    <w:p w14:paraId="3F16424F">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rPr>
        <w:t>抽中的单位必须在规定时间内响应采购人要求，并及时提供服务，否则采购人将取消抽取结果，进行第二次抽取程序，该轮轮空。</w:t>
      </w:r>
    </w:p>
    <w:p w14:paraId="3DEB9369">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rPr>
        <w:t>项目待具体确定服务单位时，从入库单位中以随机抽取的方式确定该项目的最终服务单位，签订具体项目的服务合同。</w:t>
      </w:r>
    </w:p>
    <w:p w14:paraId="67A168A2">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rPr>
        <w:t>抽签由使用部门或单位在公司监督人员的监督下进行随机抽取，并通知被抽取的入库单位。中标人如出现三次不能及时参加项目抽签会议的、抽取项目后放弃中签资格的、不接受合同约定内容及阜阳投资发展集团有限公司相关管理办法规定的，视为其自动放弃入库单位资格，按违约处理，入库协议终止并没收履约保证金。采购人不保证有效期内入库单位的最低项目数量和项目的连续性。</w:t>
      </w:r>
    </w:p>
    <w:p w14:paraId="212A13F8">
      <w:pPr>
        <w:pStyle w:val="12"/>
        <w:shd w:val="clear"/>
        <w:spacing w:line="360" w:lineRule="auto"/>
        <w:ind w:left="0" w:firstLine="420" w:firstLineChars="200"/>
        <w:rPr>
          <w:rFonts w:hint="eastAsia" w:ascii="宋体" w:hAnsi="宋体" w:cs="宋体"/>
          <w:bCs/>
          <w:color w:val="auto"/>
          <w:highlight w:val="none"/>
        </w:rPr>
      </w:pPr>
      <w:r>
        <w:rPr>
          <w:rFonts w:hint="eastAsia" w:ascii="宋体" w:hAnsi="宋体" w:cs="宋体"/>
          <w:bCs/>
          <w:color w:val="auto"/>
          <w:highlight w:val="none"/>
          <w:lang w:val="en-US" w:eastAsia="zh-CN"/>
        </w:rPr>
        <w:t>3</w:t>
      </w:r>
      <w:r>
        <w:rPr>
          <w:rFonts w:hint="eastAsia" w:ascii="宋体" w:hAnsi="宋体" w:cs="宋体"/>
          <w:bCs/>
          <w:color w:val="auto"/>
          <w:highlight w:val="none"/>
        </w:rPr>
        <w:t>.特殊项目可由采购人根据企业实力和项目实际需求直接合同授予，所有入库单位不得有任何异议。</w:t>
      </w:r>
    </w:p>
    <w:p w14:paraId="7BE0AFEC">
      <w:pPr>
        <w:pStyle w:val="13"/>
        <w:shd w:val="clear"/>
        <w:ind w:firstLine="0" w:firstLineChars="0"/>
        <w:jc w:val="center"/>
        <w:rPr>
          <w:rFonts w:ascii="宋体" w:hAnsi="宋体" w:cs="宋体"/>
          <w:b/>
          <w:bCs/>
          <w:color w:val="auto"/>
          <w:sz w:val="32"/>
          <w:szCs w:val="32"/>
          <w:highlight w:val="none"/>
        </w:rPr>
      </w:pPr>
    </w:p>
    <w:p w14:paraId="5029DD1D">
      <w:pPr>
        <w:pStyle w:val="13"/>
        <w:shd w:val="clear"/>
        <w:ind w:firstLine="0" w:firstLineChars="0"/>
        <w:jc w:val="center"/>
        <w:rPr>
          <w:rFonts w:ascii="宋体" w:hAnsi="宋体" w:cs="宋体"/>
          <w:b/>
          <w:bCs/>
          <w:color w:val="auto"/>
          <w:sz w:val="32"/>
          <w:szCs w:val="32"/>
          <w:highlight w:val="none"/>
        </w:rPr>
      </w:pPr>
    </w:p>
    <w:p w14:paraId="57769BA4">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1895E19C">
      <w:pPr>
        <w:pStyle w:val="13"/>
        <w:shd w:val="clear"/>
        <w:ind w:firstLine="0" w:firstLineChars="0"/>
        <w:jc w:val="center"/>
        <w:rPr>
          <w:color w:val="auto"/>
          <w:highlight w:val="none"/>
        </w:rPr>
      </w:pPr>
      <w:r>
        <w:rPr>
          <w:rFonts w:hint="eastAsia" w:ascii="宋体" w:hAnsi="宋体" w:cs="宋体"/>
          <w:b/>
          <w:bCs/>
          <w:color w:val="auto"/>
          <w:sz w:val="32"/>
          <w:szCs w:val="32"/>
          <w:highlight w:val="none"/>
        </w:rPr>
        <w:t>第四章</w:t>
      </w:r>
      <w:r>
        <w:rPr>
          <w:rFonts w:hint="eastAsia" w:ascii="宋体" w:hAnsi="宋体" w:cs="宋体"/>
          <w:color w:val="auto"/>
          <w:sz w:val="32"/>
          <w:szCs w:val="32"/>
          <w:highlight w:val="none"/>
        </w:rPr>
        <w:t xml:space="preserve"> </w:t>
      </w:r>
      <w:bookmarkEnd w:id="287"/>
      <w:bookmarkEnd w:id="288"/>
      <w:bookmarkEnd w:id="289"/>
      <w:bookmarkEnd w:id="290"/>
      <w:bookmarkEnd w:id="291"/>
      <w:r>
        <w:rPr>
          <w:rFonts w:hint="eastAsia" w:ascii="宋体" w:hAnsi="宋体" w:cs="宋体"/>
          <w:b/>
          <w:bCs/>
          <w:color w:val="auto"/>
          <w:sz w:val="32"/>
          <w:szCs w:val="32"/>
          <w:highlight w:val="none"/>
        </w:rPr>
        <w:t>评标办法</w:t>
      </w:r>
    </w:p>
    <w:tbl>
      <w:tblPr>
        <w:tblStyle w:val="14"/>
        <w:tblpPr w:leftFromText="180" w:rightFromText="180" w:vertAnchor="text" w:horzAnchor="page" w:tblpX="1095" w:tblpY="7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7"/>
      </w:tblGrid>
      <w:tr w14:paraId="3E1E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997" w:type="dxa"/>
            <w:vAlign w:val="center"/>
          </w:tcPr>
          <w:p w14:paraId="789AB20E">
            <w:pPr>
              <w:shd w:val="clear"/>
              <w:spacing w:line="360" w:lineRule="auto"/>
              <w:jc w:val="center"/>
              <w:rPr>
                <w:rFonts w:ascii="宋体" w:hAnsi="宋体" w:cs="宋体"/>
                <w:color w:val="auto"/>
                <w:sz w:val="24"/>
                <w:szCs w:val="24"/>
                <w:highlight w:val="none"/>
              </w:rPr>
            </w:pPr>
            <w:bookmarkStart w:id="303" w:name="_Toc487641643"/>
            <w:bookmarkStart w:id="304" w:name="_Toc487461304"/>
            <w:bookmarkStart w:id="305" w:name="_Toc493081617"/>
            <w:r>
              <w:rPr>
                <w:rFonts w:hint="eastAsia" w:ascii="宋体" w:hAnsi="宋体" w:cs="宋体"/>
                <w:b/>
                <w:bCs/>
                <w:color w:val="auto"/>
                <w:sz w:val="24"/>
                <w:szCs w:val="24"/>
                <w:highlight w:val="none"/>
              </w:rPr>
              <w:t>评标委员会否决其投标的条款</w:t>
            </w:r>
          </w:p>
        </w:tc>
      </w:tr>
      <w:tr w14:paraId="7045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997" w:type="dxa"/>
          </w:tcPr>
          <w:p w14:paraId="2A3C95B5">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1、不符合评标办法前附表要求条件的。</w:t>
            </w:r>
          </w:p>
          <w:p w14:paraId="42F568D9">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2、评标委员会认定投标人以低于成本报价竞标的。</w:t>
            </w:r>
          </w:p>
          <w:p w14:paraId="412204C8">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3、投标人有串通投标或弄虚作假或有其他违法行为的。串通投标行为是指：</w:t>
            </w:r>
          </w:p>
          <w:p w14:paraId="533B23C2">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（1）不同投标人的投标文件内容存在非正常一致的；</w:t>
            </w:r>
          </w:p>
          <w:p w14:paraId="15760D1D">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（2）不同投标人委托同一人投标或与同一人联合投标的；</w:t>
            </w:r>
          </w:p>
          <w:p w14:paraId="75DC1126">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（3）不同投标人的投标文件载明的拟派项目服务人员出现同一人的；</w:t>
            </w:r>
          </w:p>
          <w:p w14:paraId="21C572C0">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（4）不同投标人的投标文件相互混装的（已开标记录为准）；</w:t>
            </w:r>
          </w:p>
          <w:p w14:paraId="7AE1A31C">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（5）不同投标人的投标文件由同一单位或同一人编制的；</w:t>
            </w:r>
          </w:p>
          <w:p w14:paraId="5D92515A">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（6）不同投标人使用同一人或企业资金提交投标保证金的；</w:t>
            </w:r>
          </w:p>
          <w:p w14:paraId="2DFAEF00">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（7）不同投标人聘请同一人或同一中介机构为其投标提供技术或经济咨询服务的；</w:t>
            </w:r>
          </w:p>
          <w:p w14:paraId="4EFEB1AA">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4、实质性内容不全或关键字迹模糊、无法辨认的。</w:t>
            </w:r>
          </w:p>
          <w:p w14:paraId="277B87DE">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5、投标人递交两份或多份内容不同的投标文件，投标文件中对同一招标项目同一标段报有两个或多个报价，且未声明哪一个有效的。按招标文件规定提交备选投标方案的除外。</w:t>
            </w:r>
          </w:p>
          <w:p w14:paraId="7B9E74B3">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6、投标报价</w:t>
            </w:r>
            <w:r>
              <w:rPr>
                <w:rFonts w:hint="eastAsia" w:ascii="宋体" w:hAnsi="宋体" w:cs="宋体"/>
                <w:bCs/>
                <w:color w:val="auto"/>
                <w:sz w:val="24"/>
                <w:szCs w:val="24"/>
                <w:highlight w:val="none"/>
                <w:lang w:val="en-US" w:eastAsia="zh-CN"/>
              </w:rPr>
              <w:t>超过</w:t>
            </w:r>
            <w:r>
              <w:rPr>
                <w:rFonts w:hint="eastAsia" w:ascii="宋体" w:hAnsi="宋体" w:cs="宋体"/>
                <w:bCs/>
                <w:color w:val="auto"/>
                <w:sz w:val="24"/>
                <w:szCs w:val="24"/>
                <w:highlight w:val="none"/>
              </w:rPr>
              <w:t>最高投标限价的。</w:t>
            </w:r>
          </w:p>
          <w:p w14:paraId="31BBF81C">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7、</w:t>
            </w:r>
            <w:r>
              <w:rPr>
                <w:rFonts w:hint="eastAsia" w:ascii="宋体" w:hAnsi="宋体" w:cs="宋体"/>
                <w:color w:val="auto"/>
                <w:sz w:val="24"/>
                <w:szCs w:val="24"/>
                <w:highlight w:val="none"/>
              </w:rPr>
              <w:t>投标人存在投标人须知1.4.3所列情形的</w:t>
            </w:r>
            <w:r>
              <w:rPr>
                <w:rFonts w:hint="eastAsia" w:ascii="宋体" w:hAnsi="宋体" w:cs="宋体"/>
                <w:bCs/>
                <w:color w:val="auto"/>
                <w:sz w:val="24"/>
                <w:szCs w:val="24"/>
                <w:highlight w:val="none"/>
              </w:rPr>
              <w:t>。</w:t>
            </w:r>
          </w:p>
          <w:p w14:paraId="7A3C8ABB">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8、投标人不按本章第3.4.1项要求提交投标保证金的（如有）。</w:t>
            </w:r>
          </w:p>
          <w:p w14:paraId="2C6A3D66">
            <w:pPr>
              <w:shd w:val="clear"/>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9、改变投标人诚信承诺书内容约定的。</w:t>
            </w:r>
          </w:p>
          <w:p w14:paraId="22407B86">
            <w:pPr>
              <w:shd w:val="clear"/>
              <w:spacing w:line="360" w:lineRule="auto"/>
              <w:ind w:firstLine="491" w:firstLineChars="205"/>
              <w:rPr>
                <w:rFonts w:ascii="宋体" w:hAnsi="宋体" w:cs="宋体"/>
                <w:color w:val="auto"/>
                <w:sz w:val="24"/>
                <w:szCs w:val="24"/>
                <w:highlight w:val="none"/>
              </w:rPr>
            </w:pPr>
            <w:r>
              <w:rPr>
                <w:rFonts w:hint="eastAsia" w:ascii="宋体" w:hAnsi="宋体" w:cs="宋体"/>
                <w:bCs/>
                <w:color w:val="auto"/>
                <w:sz w:val="24"/>
                <w:szCs w:val="24"/>
                <w:highlight w:val="none"/>
              </w:rPr>
              <w:t>除以上情形和《评标办法前附表》规定外，不得否决投标。因不可预测情形需否决投标的，评标委员会应慎重作出决定。</w:t>
            </w:r>
          </w:p>
        </w:tc>
      </w:tr>
    </w:tbl>
    <w:p w14:paraId="5E092E0B">
      <w:pPr>
        <w:shd w:val="clear"/>
        <w:spacing w:line="360" w:lineRule="auto"/>
        <w:jc w:val="center"/>
        <w:outlineLvl w:val="1"/>
        <w:rPr>
          <w:rFonts w:ascii="宋体" w:hAnsi="宋体" w:cs="宋体"/>
          <w:b/>
          <w:bCs/>
          <w:color w:val="auto"/>
          <w:highlight w:val="none"/>
        </w:rPr>
      </w:pPr>
    </w:p>
    <w:bookmarkEnd w:id="303"/>
    <w:bookmarkEnd w:id="304"/>
    <w:p w14:paraId="4759238D">
      <w:pPr>
        <w:pStyle w:val="13"/>
        <w:shd w:val="clear"/>
        <w:ind w:left="0" w:leftChars="0" w:firstLine="0" w:firstLineChars="0"/>
        <w:rPr>
          <w:color w:val="auto"/>
          <w:highlight w:val="none"/>
        </w:rPr>
      </w:pPr>
    </w:p>
    <w:p w14:paraId="23FB4189">
      <w:pPr>
        <w:pStyle w:val="12"/>
        <w:shd w:val="clear"/>
        <w:ind w:left="420" w:hanging="420"/>
        <w:rPr>
          <w:color w:val="auto"/>
          <w:highlight w:val="none"/>
        </w:rPr>
      </w:pPr>
    </w:p>
    <w:p w14:paraId="596F03AD">
      <w:pPr>
        <w:pStyle w:val="12"/>
        <w:shd w:val="clear"/>
        <w:ind w:left="420" w:hanging="420"/>
        <w:rPr>
          <w:color w:val="auto"/>
          <w:highlight w:val="none"/>
        </w:rPr>
      </w:pPr>
    </w:p>
    <w:p w14:paraId="6F8B8233">
      <w:pPr>
        <w:pStyle w:val="12"/>
        <w:shd w:val="clear"/>
        <w:ind w:left="420" w:hanging="420"/>
        <w:rPr>
          <w:color w:val="auto"/>
          <w:highlight w:val="none"/>
        </w:rPr>
      </w:pPr>
    </w:p>
    <w:p w14:paraId="1A650F83">
      <w:pPr>
        <w:pStyle w:val="12"/>
        <w:shd w:val="clear"/>
        <w:ind w:left="420" w:hanging="420"/>
        <w:rPr>
          <w:color w:val="auto"/>
          <w:highlight w:val="none"/>
        </w:rPr>
      </w:pPr>
    </w:p>
    <w:p w14:paraId="4D94724A">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3ADBE1FE">
      <w:pPr>
        <w:shd w:val="clear"/>
        <w:spacing w:line="360" w:lineRule="auto"/>
        <w:jc w:val="center"/>
        <w:outlineLvl w:val="1"/>
        <w:rPr>
          <w:rFonts w:ascii="宋体" w:hAnsi="宋体" w:cs="宋体"/>
          <w:b/>
          <w:bCs/>
          <w:color w:val="auto"/>
          <w:sz w:val="28"/>
          <w:szCs w:val="28"/>
          <w:highlight w:val="none"/>
        </w:rPr>
      </w:pPr>
      <w:r>
        <w:rPr>
          <w:rFonts w:hint="eastAsia" w:ascii="宋体" w:hAnsi="宋体" w:cs="宋体"/>
          <w:b/>
          <w:bCs/>
          <w:color w:val="auto"/>
          <w:sz w:val="28"/>
          <w:szCs w:val="28"/>
          <w:highlight w:val="none"/>
        </w:rPr>
        <w:t>评标办法前附表</w:t>
      </w:r>
      <w:bookmarkEnd w:id="305"/>
    </w:p>
    <w:tbl>
      <w:tblPr>
        <w:tblStyle w:val="1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1"/>
        <w:gridCol w:w="1941"/>
        <w:gridCol w:w="6416"/>
      </w:tblGrid>
      <w:tr w14:paraId="7FCADD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1" w:hRule="atLeast"/>
          <w:jc w:val="center"/>
        </w:trPr>
        <w:tc>
          <w:tcPr>
            <w:tcW w:w="1101" w:type="dxa"/>
            <w:tcBorders>
              <w:top w:val="single" w:color="auto" w:sz="4" w:space="0"/>
              <w:bottom w:val="single" w:color="auto" w:sz="4" w:space="0"/>
              <w:right w:val="single" w:color="auto" w:sz="4" w:space="0"/>
            </w:tcBorders>
            <w:vAlign w:val="center"/>
          </w:tcPr>
          <w:p w14:paraId="2A103F36">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bookmarkStart w:id="306" w:name="_Toc493081618"/>
            <w:r>
              <w:rPr>
                <w:rFonts w:hint="eastAsia" w:ascii="宋体" w:hAnsi="宋体" w:cs="宋体"/>
                <w:color w:val="auto"/>
                <w:sz w:val="24"/>
                <w:szCs w:val="24"/>
                <w:highlight w:val="none"/>
              </w:rPr>
              <w:t>评审内容</w:t>
            </w:r>
          </w:p>
        </w:tc>
        <w:tc>
          <w:tcPr>
            <w:tcW w:w="1941" w:type="dxa"/>
            <w:tcBorders>
              <w:top w:val="single" w:color="auto" w:sz="4" w:space="0"/>
              <w:left w:val="single" w:color="auto" w:sz="4" w:space="0"/>
              <w:bottom w:val="single" w:color="auto" w:sz="4" w:space="0"/>
              <w:right w:val="single" w:color="auto" w:sz="4" w:space="0"/>
            </w:tcBorders>
            <w:vAlign w:val="center"/>
          </w:tcPr>
          <w:p w14:paraId="30169F1E">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评审因素</w:t>
            </w:r>
          </w:p>
        </w:tc>
        <w:tc>
          <w:tcPr>
            <w:tcW w:w="6416" w:type="dxa"/>
            <w:tcBorders>
              <w:top w:val="single" w:color="auto" w:sz="4" w:space="0"/>
              <w:left w:val="single" w:color="auto" w:sz="4" w:space="0"/>
              <w:bottom w:val="single" w:color="auto" w:sz="4" w:space="0"/>
            </w:tcBorders>
            <w:vAlign w:val="center"/>
          </w:tcPr>
          <w:p w14:paraId="4D091655">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评审标准</w:t>
            </w:r>
          </w:p>
        </w:tc>
      </w:tr>
      <w:tr w14:paraId="4BF46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9" w:hRule="atLeast"/>
          <w:jc w:val="center"/>
        </w:trPr>
        <w:tc>
          <w:tcPr>
            <w:tcW w:w="1101" w:type="dxa"/>
            <w:vMerge w:val="restart"/>
            <w:tcBorders>
              <w:top w:val="single" w:color="auto" w:sz="4" w:space="0"/>
              <w:right w:val="single" w:color="auto" w:sz="4" w:space="0"/>
            </w:tcBorders>
            <w:vAlign w:val="center"/>
          </w:tcPr>
          <w:p w14:paraId="47435BD8">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资格评审</w:t>
            </w:r>
          </w:p>
        </w:tc>
        <w:tc>
          <w:tcPr>
            <w:tcW w:w="1941" w:type="dxa"/>
            <w:tcBorders>
              <w:top w:val="single" w:color="auto" w:sz="4" w:space="0"/>
              <w:left w:val="single" w:color="auto" w:sz="4" w:space="0"/>
              <w:bottom w:val="single" w:color="auto" w:sz="4" w:space="0"/>
              <w:right w:val="single" w:color="auto" w:sz="4" w:space="0"/>
            </w:tcBorders>
            <w:vAlign w:val="center"/>
          </w:tcPr>
          <w:p w14:paraId="0EA27D3D">
            <w:pPr>
              <w:adjustRightInd w:val="0"/>
              <w:snapToGrid w:val="0"/>
              <w:spacing w:after="20" w:afterLines="20" w:line="400" w:lineRule="exact"/>
              <w:jc w:val="center"/>
              <w:rPr>
                <w:rFonts w:ascii="宋体" w:hAnsi="宋体" w:cs="宋体"/>
                <w:color w:val="auto"/>
                <w:sz w:val="24"/>
                <w:szCs w:val="24"/>
                <w:highlight w:val="none"/>
              </w:rPr>
            </w:pPr>
            <w:r>
              <w:rPr>
                <w:rFonts w:hint="eastAsia" w:ascii="宋体" w:hAnsi="宋体" w:eastAsia="宋体" w:cs="宋体"/>
                <w:color w:val="auto"/>
                <w:spacing w:val="9"/>
                <w:sz w:val="24"/>
                <w:szCs w:val="24"/>
              </w:rPr>
              <w:t>营业执照等证明</w:t>
            </w:r>
            <w:r>
              <w:rPr>
                <w:rFonts w:hint="eastAsia" w:ascii="宋体" w:hAnsi="宋体" w:eastAsia="宋体" w:cs="宋体"/>
                <w:color w:val="auto"/>
                <w:spacing w:val="-3"/>
                <w:sz w:val="24"/>
                <w:szCs w:val="24"/>
              </w:rPr>
              <w:t>文件</w:t>
            </w:r>
          </w:p>
        </w:tc>
        <w:tc>
          <w:tcPr>
            <w:tcW w:w="6416" w:type="dxa"/>
            <w:tcBorders>
              <w:top w:val="single" w:color="auto" w:sz="4" w:space="0"/>
              <w:left w:val="single" w:color="auto" w:sz="4" w:space="0"/>
              <w:bottom w:val="single" w:color="auto" w:sz="4" w:space="0"/>
            </w:tcBorders>
            <w:vAlign w:val="center"/>
          </w:tcPr>
          <w:p w14:paraId="659603D8">
            <w:pPr>
              <w:adjustRightInd w:val="0"/>
              <w:snapToGrid w:val="0"/>
              <w:spacing w:after="20" w:afterLines="2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（1）投标人为企业（包括合伙企业）的，应提供有效的营业执照；</w:t>
            </w:r>
          </w:p>
          <w:p w14:paraId="16A69494">
            <w:pPr>
              <w:adjustRightInd w:val="0"/>
              <w:snapToGrid w:val="0"/>
              <w:spacing w:after="20" w:afterLines="2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（2）投标人为事业单位的，应提供有效的事业单位法人证书；</w:t>
            </w:r>
          </w:p>
          <w:p w14:paraId="27DC4E81">
            <w:pPr>
              <w:adjustRightInd w:val="0"/>
              <w:snapToGrid w:val="0"/>
              <w:spacing w:after="20" w:afterLines="2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（3）投标人是非企业机构的，应提供有效的执业许可证或登记证书等证明文件；</w:t>
            </w:r>
          </w:p>
          <w:p w14:paraId="4344CF22">
            <w:pPr>
              <w:adjustRightInd w:val="0"/>
              <w:snapToGrid w:val="0"/>
              <w:spacing w:after="20" w:afterLines="2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（4）投标人是个体工商户的，应提供有效的个体工商户营业执照；</w:t>
            </w:r>
          </w:p>
          <w:p w14:paraId="463759EB">
            <w:pPr>
              <w:adjustRightInd w:val="0"/>
              <w:snapToGrid w:val="0"/>
              <w:spacing w:after="20" w:afterLines="20" w:line="400" w:lineRule="exact"/>
              <w:jc w:val="left"/>
              <w:rPr>
                <w:rFonts w:ascii="宋体" w:hAnsi="宋体" w:cs="宋体"/>
                <w:color w:val="auto"/>
                <w:sz w:val="24"/>
                <w:szCs w:val="24"/>
                <w:highlight w:val="none"/>
              </w:rPr>
            </w:pPr>
            <w:r>
              <w:rPr>
                <w:rFonts w:hint="eastAsia" w:ascii="宋体" w:hAnsi="宋体" w:eastAsia="宋体" w:cs="宋体"/>
                <w:color w:val="auto"/>
                <w:sz w:val="24"/>
                <w:szCs w:val="24"/>
              </w:rPr>
              <w:t>（5）投标人是自然人的，应提供有效的自然人身份证明。</w:t>
            </w:r>
          </w:p>
        </w:tc>
      </w:tr>
      <w:tr w14:paraId="79468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101" w:type="dxa"/>
            <w:vMerge w:val="continue"/>
            <w:tcBorders>
              <w:right w:val="single" w:color="auto" w:sz="4" w:space="0"/>
            </w:tcBorders>
            <w:vAlign w:val="center"/>
          </w:tcPr>
          <w:p w14:paraId="7D7958A3">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p>
        </w:tc>
        <w:tc>
          <w:tcPr>
            <w:tcW w:w="1941" w:type="dxa"/>
            <w:tcBorders>
              <w:top w:val="single" w:color="auto" w:sz="4" w:space="0"/>
              <w:left w:val="single" w:color="auto" w:sz="4" w:space="0"/>
              <w:bottom w:val="single" w:color="auto" w:sz="4" w:space="0"/>
              <w:right w:val="single" w:color="auto" w:sz="4" w:space="0"/>
            </w:tcBorders>
            <w:vAlign w:val="center"/>
          </w:tcPr>
          <w:p w14:paraId="7451EC8F">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资质条件</w:t>
            </w:r>
          </w:p>
        </w:tc>
        <w:tc>
          <w:tcPr>
            <w:tcW w:w="6416" w:type="dxa"/>
            <w:tcBorders>
              <w:top w:val="single" w:color="auto" w:sz="4" w:space="0"/>
              <w:left w:val="single" w:color="auto" w:sz="4" w:space="0"/>
              <w:bottom w:val="single" w:color="auto" w:sz="4" w:space="0"/>
            </w:tcBorders>
          </w:tcPr>
          <w:p w14:paraId="7050DAA4">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符合招标公告投标人资格要求</w:t>
            </w:r>
          </w:p>
        </w:tc>
      </w:tr>
      <w:tr w14:paraId="162C5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1101" w:type="dxa"/>
            <w:vMerge w:val="continue"/>
            <w:tcBorders>
              <w:right w:val="single" w:color="auto" w:sz="4" w:space="0"/>
            </w:tcBorders>
            <w:vAlign w:val="center"/>
          </w:tcPr>
          <w:p w14:paraId="31BA3974">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p>
        </w:tc>
        <w:tc>
          <w:tcPr>
            <w:tcW w:w="1941" w:type="dxa"/>
            <w:tcBorders>
              <w:top w:val="single" w:color="auto" w:sz="4" w:space="0"/>
              <w:left w:val="single" w:color="auto" w:sz="4" w:space="0"/>
              <w:bottom w:val="single" w:color="auto" w:sz="4" w:space="0"/>
              <w:right w:val="single" w:color="auto" w:sz="4" w:space="0"/>
            </w:tcBorders>
            <w:vAlign w:val="center"/>
          </w:tcPr>
          <w:p w14:paraId="1D502D97">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人员</w:t>
            </w:r>
            <w:r>
              <w:rPr>
                <w:rFonts w:hint="eastAsia" w:ascii="宋体" w:hAnsi="宋体" w:cs="宋体"/>
                <w:color w:val="auto"/>
                <w:sz w:val="24"/>
                <w:szCs w:val="24"/>
                <w:highlight w:val="none"/>
              </w:rPr>
              <w:t>要求</w:t>
            </w:r>
          </w:p>
        </w:tc>
        <w:tc>
          <w:tcPr>
            <w:tcW w:w="6416" w:type="dxa"/>
            <w:tcBorders>
              <w:top w:val="single" w:color="auto" w:sz="4" w:space="0"/>
              <w:left w:val="single" w:color="auto" w:sz="4" w:space="0"/>
              <w:bottom w:val="single" w:color="auto" w:sz="4" w:space="0"/>
            </w:tcBorders>
            <w:vAlign w:val="center"/>
          </w:tcPr>
          <w:p w14:paraId="6E7DC8C3">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符合</w:t>
            </w:r>
            <w:r>
              <w:rPr>
                <w:rFonts w:hint="eastAsia" w:ascii="宋体" w:hAnsi="宋体" w:cs="宋体"/>
                <w:color w:val="auto"/>
                <w:sz w:val="24"/>
                <w:szCs w:val="24"/>
                <w:highlight w:val="none"/>
                <w:lang w:val="en-US" w:eastAsia="zh-CN"/>
              </w:rPr>
              <w:t>采购需求中</w:t>
            </w:r>
            <w:r>
              <w:rPr>
                <w:rFonts w:hint="eastAsia" w:ascii="宋体" w:hAnsi="宋体" w:cs="宋体"/>
                <w:color w:val="auto"/>
                <w:sz w:val="24"/>
                <w:szCs w:val="24"/>
                <w:highlight w:val="none"/>
              </w:rPr>
              <w:t>列明的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拟投入人员最低要求</w:t>
            </w:r>
            <w:r>
              <w:rPr>
                <w:rFonts w:hint="eastAsia" w:ascii="宋体" w:hAnsi="宋体" w:cs="宋体"/>
                <w:color w:val="auto"/>
                <w:sz w:val="24"/>
                <w:szCs w:val="24"/>
                <w:highlight w:val="none"/>
                <w:lang w:eastAsia="zh-CN"/>
              </w:rPr>
              <w:t>”</w:t>
            </w:r>
          </w:p>
        </w:tc>
      </w:tr>
      <w:tr w14:paraId="12F9B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1101" w:type="dxa"/>
            <w:vMerge w:val="restart"/>
            <w:tcBorders>
              <w:top w:val="single" w:color="auto" w:sz="4" w:space="0"/>
              <w:right w:val="single" w:color="auto" w:sz="4" w:space="0"/>
            </w:tcBorders>
            <w:vAlign w:val="center"/>
          </w:tcPr>
          <w:p w14:paraId="4849A5F6">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符合性评审</w:t>
            </w:r>
          </w:p>
        </w:tc>
        <w:tc>
          <w:tcPr>
            <w:tcW w:w="1941" w:type="dxa"/>
            <w:tcBorders>
              <w:top w:val="single" w:color="auto" w:sz="4" w:space="0"/>
              <w:left w:val="single" w:color="auto" w:sz="4" w:space="0"/>
              <w:bottom w:val="single" w:color="auto" w:sz="4" w:space="0"/>
              <w:right w:val="single" w:color="auto" w:sz="4" w:space="0"/>
            </w:tcBorders>
            <w:vAlign w:val="center"/>
          </w:tcPr>
          <w:p w14:paraId="4D181D80">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投标人名称</w:t>
            </w:r>
          </w:p>
        </w:tc>
        <w:tc>
          <w:tcPr>
            <w:tcW w:w="6416" w:type="dxa"/>
            <w:tcBorders>
              <w:top w:val="single" w:color="auto" w:sz="4" w:space="0"/>
              <w:left w:val="single" w:color="auto" w:sz="4" w:space="0"/>
              <w:bottom w:val="single" w:color="auto" w:sz="4" w:space="0"/>
            </w:tcBorders>
          </w:tcPr>
          <w:p w14:paraId="1A3E8EE5">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与营业执照或组织机构代码证、资质证书一致</w:t>
            </w:r>
          </w:p>
        </w:tc>
      </w:tr>
      <w:tr w14:paraId="69ED3B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1101" w:type="dxa"/>
            <w:vMerge w:val="continue"/>
            <w:tcBorders>
              <w:right w:val="single" w:color="auto" w:sz="4" w:space="0"/>
            </w:tcBorders>
            <w:vAlign w:val="center"/>
          </w:tcPr>
          <w:p w14:paraId="4DE3126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p>
        </w:tc>
        <w:tc>
          <w:tcPr>
            <w:tcW w:w="1941" w:type="dxa"/>
            <w:tcBorders>
              <w:top w:val="single" w:color="auto" w:sz="4" w:space="0"/>
              <w:left w:val="single" w:color="auto" w:sz="4" w:space="0"/>
              <w:bottom w:val="single" w:color="auto" w:sz="4" w:space="0"/>
              <w:right w:val="single" w:color="auto" w:sz="4" w:space="0"/>
            </w:tcBorders>
            <w:vAlign w:val="center"/>
          </w:tcPr>
          <w:p w14:paraId="5E5C908A">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投标函签字或盖章</w:t>
            </w:r>
          </w:p>
        </w:tc>
        <w:tc>
          <w:tcPr>
            <w:tcW w:w="6416" w:type="dxa"/>
            <w:tcBorders>
              <w:top w:val="single" w:color="auto" w:sz="4" w:space="0"/>
              <w:left w:val="single" w:color="auto" w:sz="4" w:space="0"/>
              <w:bottom w:val="single" w:color="auto" w:sz="4" w:space="0"/>
            </w:tcBorders>
          </w:tcPr>
          <w:p w14:paraId="4EF69DA3">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符合“投标函”格式要求</w:t>
            </w:r>
          </w:p>
        </w:tc>
      </w:tr>
      <w:tr w14:paraId="244C3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1101" w:type="dxa"/>
            <w:vMerge w:val="continue"/>
            <w:tcBorders>
              <w:right w:val="single" w:color="auto" w:sz="4" w:space="0"/>
            </w:tcBorders>
            <w:vAlign w:val="center"/>
          </w:tcPr>
          <w:p w14:paraId="00761D32">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p>
        </w:tc>
        <w:tc>
          <w:tcPr>
            <w:tcW w:w="1941" w:type="dxa"/>
            <w:tcBorders>
              <w:top w:val="single" w:color="auto" w:sz="4" w:space="0"/>
              <w:left w:val="single" w:color="auto" w:sz="4" w:space="0"/>
              <w:bottom w:val="single" w:color="auto" w:sz="4" w:space="0"/>
              <w:right w:val="single" w:color="auto" w:sz="4" w:space="0"/>
            </w:tcBorders>
            <w:vAlign w:val="center"/>
          </w:tcPr>
          <w:p w14:paraId="586D0189">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报价唯一</w:t>
            </w:r>
          </w:p>
        </w:tc>
        <w:tc>
          <w:tcPr>
            <w:tcW w:w="6416" w:type="dxa"/>
            <w:tcBorders>
              <w:top w:val="single" w:color="auto" w:sz="4" w:space="0"/>
              <w:left w:val="single" w:color="auto" w:sz="4" w:space="0"/>
              <w:bottom w:val="single" w:color="auto" w:sz="4" w:space="0"/>
            </w:tcBorders>
          </w:tcPr>
          <w:p w14:paraId="6A692BF6">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ind w:leftChars="-7" w:hanging="16" w:hangingChars="7"/>
              <w:textAlignment w:val="auto"/>
              <w:rPr>
                <w:rFonts w:ascii="宋体" w:hAnsi="宋体" w:cs="宋体"/>
                <w:color w:val="auto"/>
                <w:sz w:val="24"/>
                <w:szCs w:val="24"/>
                <w:highlight w:val="none"/>
              </w:rPr>
            </w:pPr>
            <w:r>
              <w:rPr>
                <w:rFonts w:hint="eastAsia" w:ascii="宋体" w:hAnsi="宋体" w:cs="宋体"/>
                <w:bCs/>
                <w:color w:val="auto"/>
                <w:sz w:val="24"/>
                <w:szCs w:val="24"/>
                <w:highlight w:val="none"/>
              </w:rPr>
              <w:t>只能有一个有效投标报价</w:t>
            </w:r>
          </w:p>
        </w:tc>
      </w:tr>
      <w:tr w14:paraId="185FF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1101" w:type="dxa"/>
            <w:vMerge w:val="continue"/>
            <w:tcBorders>
              <w:right w:val="single" w:color="auto" w:sz="4" w:space="0"/>
            </w:tcBorders>
            <w:vAlign w:val="center"/>
          </w:tcPr>
          <w:p w14:paraId="33C5285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4"/>
                <w:szCs w:val="24"/>
                <w:highlight w:val="none"/>
              </w:rPr>
            </w:pPr>
          </w:p>
        </w:tc>
        <w:tc>
          <w:tcPr>
            <w:tcW w:w="1941" w:type="dxa"/>
            <w:tcBorders>
              <w:top w:val="single" w:color="auto" w:sz="4" w:space="0"/>
              <w:left w:val="single" w:color="auto" w:sz="4" w:space="0"/>
              <w:bottom w:val="single" w:color="auto" w:sz="4" w:space="0"/>
              <w:right w:val="single" w:color="auto" w:sz="4" w:space="0"/>
            </w:tcBorders>
            <w:vAlign w:val="center"/>
          </w:tcPr>
          <w:p w14:paraId="4F5E8B8D">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商务响应情况</w:t>
            </w:r>
          </w:p>
        </w:tc>
        <w:tc>
          <w:tcPr>
            <w:tcW w:w="6416" w:type="dxa"/>
            <w:tcBorders>
              <w:top w:val="single" w:color="auto" w:sz="4" w:space="0"/>
              <w:left w:val="single" w:color="auto" w:sz="4" w:space="0"/>
              <w:bottom w:val="single" w:color="auto" w:sz="4" w:space="0"/>
            </w:tcBorders>
          </w:tcPr>
          <w:p w14:paraId="51F47EF2">
            <w:pPr>
              <w:keepNext w:val="0"/>
              <w:keepLines w:val="0"/>
              <w:pageBreakBefore w:val="0"/>
              <w:widowControl w:val="0"/>
              <w:shd w:val="clear"/>
              <w:kinsoku/>
              <w:wordWrap/>
              <w:overflowPunct/>
              <w:topLinePunct w:val="0"/>
              <w:autoSpaceDE/>
              <w:autoSpaceDN/>
              <w:bidi w:val="0"/>
              <w:adjustRightInd/>
              <w:snapToGrid/>
              <w:spacing w:before="100" w:beforeAutospacing="1" w:after="100" w:afterAutospacing="1"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符合招标文件采购需求中对付款方式、服务地点、服务期限</w:t>
            </w:r>
            <w:r>
              <w:rPr>
                <w:rFonts w:hint="eastAsia" w:ascii="宋体" w:hAnsi="宋体" w:cs="宋体"/>
                <w:color w:val="auto"/>
                <w:sz w:val="24"/>
                <w:szCs w:val="24"/>
                <w:highlight w:val="none"/>
                <w:lang w:eastAsia="zh-CN"/>
              </w:rPr>
              <w:t>、服务要求</w:t>
            </w:r>
            <w:r>
              <w:rPr>
                <w:rFonts w:hint="eastAsia" w:ascii="宋体" w:hAnsi="宋体" w:cs="宋体"/>
                <w:color w:val="auto"/>
                <w:sz w:val="24"/>
                <w:szCs w:val="24"/>
                <w:highlight w:val="none"/>
                <w:lang w:val="en-US" w:eastAsia="zh-CN"/>
              </w:rPr>
              <w:t>等</w:t>
            </w:r>
            <w:r>
              <w:rPr>
                <w:rFonts w:hint="eastAsia" w:ascii="宋体" w:hAnsi="宋体" w:cs="宋体"/>
                <w:color w:val="auto"/>
                <w:sz w:val="24"/>
                <w:szCs w:val="24"/>
                <w:highlight w:val="none"/>
              </w:rPr>
              <w:t>实质性要求</w:t>
            </w:r>
          </w:p>
        </w:tc>
      </w:tr>
      <w:bookmarkEnd w:id="306"/>
    </w:tbl>
    <w:p w14:paraId="056BC976">
      <w:pPr>
        <w:shd w:val="clear"/>
        <w:tabs>
          <w:tab w:val="left" w:pos="6090"/>
        </w:tabs>
        <w:spacing w:after="120" w:line="360" w:lineRule="auto"/>
        <w:rPr>
          <w:rFonts w:hint="eastAsia" w:ascii="宋体" w:hAnsi="宋体" w:cs="宋体"/>
          <w:b/>
          <w:bCs/>
          <w:color w:val="auto"/>
          <w:sz w:val="28"/>
          <w:szCs w:val="28"/>
          <w:highlight w:val="none"/>
        </w:rPr>
      </w:pPr>
      <w:bookmarkStart w:id="307" w:name="_Toc363551777"/>
    </w:p>
    <w:p w14:paraId="39E4B567">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3114EDE1">
      <w:pPr>
        <w:shd w:val="clear"/>
        <w:spacing w:line="360" w:lineRule="auto"/>
        <w:ind w:right="-10"/>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综合评审表</w:t>
      </w:r>
    </w:p>
    <w:tbl>
      <w:tblPr>
        <w:tblStyle w:val="14"/>
        <w:tblW w:w="10084"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7867"/>
        <w:gridCol w:w="1000"/>
      </w:tblGrid>
      <w:tr w14:paraId="6BF9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17" w:type="dxa"/>
            <w:vAlign w:val="center"/>
          </w:tcPr>
          <w:p w14:paraId="60D94761">
            <w:pPr>
              <w:jc w:val="center"/>
              <w:rPr>
                <w:rFonts w:ascii="宋体" w:hAnsi="宋体" w:cs="宋体"/>
                <w:b/>
                <w:sz w:val="24"/>
                <w:szCs w:val="24"/>
              </w:rPr>
            </w:pPr>
            <w:r>
              <w:rPr>
                <w:rFonts w:hint="eastAsia" w:ascii="宋体" w:hAnsi="宋体" w:cs="宋体"/>
                <w:b/>
                <w:sz w:val="24"/>
                <w:szCs w:val="24"/>
              </w:rPr>
              <w:t>评审内容</w:t>
            </w:r>
          </w:p>
        </w:tc>
        <w:tc>
          <w:tcPr>
            <w:tcW w:w="7867" w:type="dxa"/>
            <w:vAlign w:val="center"/>
          </w:tcPr>
          <w:p w14:paraId="1E5F4999">
            <w:pPr>
              <w:ind w:firstLine="241"/>
              <w:jc w:val="center"/>
              <w:rPr>
                <w:rFonts w:ascii="宋体" w:hAnsi="宋体" w:cs="宋体"/>
                <w:b/>
                <w:sz w:val="24"/>
                <w:szCs w:val="24"/>
              </w:rPr>
            </w:pPr>
            <w:r>
              <w:rPr>
                <w:rFonts w:hint="eastAsia" w:ascii="宋体" w:hAnsi="宋体" w:cs="宋体"/>
                <w:b/>
                <w:sz w:val="24"/>
                <w:szCs w:val="24"/>
              </w:rPr>
              <w:t>标  准</w:t>
            </w:r>
          </w:p>
        </w:tc>
        <w:tc>
          <w:tcPr>
            <w:tcW w:w="1000" w:type="dxa"/>
            <w:vAlign w:val="center"/>
          </w:tcPr>
          <w:p w14:paraId="1206CDFB">
            <w:pPr>
              <w:jc w:val="center"/>
              <w:rPr>
                <w:rFonts w:ascii="宋体" w:hAnsi="宋体" w:cs="宋体"/>
                <w:b/>
                <w:bCs/>
                <w:sz w:val="24"/>
                <w:szCs w:val="24"/>
              </w:rPr>
            </w:pPr>
            <w:r>
              <w:rPr>
                <w:rFonts w:hint="eastAsia" w:ascii="宋体" w:hAnsi="宋体" w:cs="宋体"/>
                <w:b/>
                <w:bCs/>
                <w:sz w:val="24"/>
                <w:szCs w:val="24"/>
              </w:rPr>
              <w:t>分值</w:t>
            </w:r>
          </w:p>
        </w:tc>
      </w:tr>
      <w:tr w14:paraId="4F64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217" w:type="dxa"/>
            <w:vAlign w:val="center"/>
          </w:tcPr>
          <w:p w14:paraId="6AE64472">
            <w:pPr>
              <w:adjustRightInd w:val="0"/>
              <w:snapToGrid w:val="0"/>
              <w:jc w:val="center"/>
              <w:rPr>
                <w:rFonts w:ascii="宋体" w:hAnsi="宋体" w:cs="宋体"/>
                <w:kern w:val="0"/>
                <w:sz w:val="24"/>
                <w:szCs w:val="24"/>
              </w:rPr>
            </w:pPr>
            <w:r>
              <w:rPr>
                <w:rFonts w:hint="eastAsia" w:ascii="宋体" w:hAnsi="宋体" w:cs="宋体"/>
                <w:spacing w:val="4"/>
                <w:kern w:val="0"/>
                <w:sz w:val="24"/>
                <w:szCs w:val="24"/>
              </w:rPr>
              <w:t>企业实力（满分15分）</w:t>
            </w:r>
          </w:p>
        </w:tc>
        <w:tc>
          <w:tcPr>
            <w:tcW w:w="7867" w:type="dxa"/>
            <w:vAlign w:val="center"/>
          </w:tcPr>
          <w:p w14:paraId="6062E8DA">
            <w:pPr>
              <w:widowControl/>
              <w:adjustRightInd w:val="0"/>
              <w:snapToGrid w:val="0"/>
              <w:spacing w:line="360" w:lineRule="auto"/>
              <w:rPr>
                <w:rFonts w:ascii="宋体" w:hAnsi="宋体" w:cs="宋体"/>
                <w:kern w:val="0"/>
                <w:sz w:val="24"/>
                <w:szCs w:val="24"/>
              </w:rPr>
            </w:pPr>
            <w:r>
              <w:rPr>
                <w:rFonts w:hint="eastAsia" w:ascii="宋体" w:hAnsi="宋体" w:cs="宋体"/>
                <w:kern w:val="0"/>
                <w:sz w:val="24"/>
                <w:szCs w:val="24"/>
                <w:lang w:val="en-US" w:eastAsia="zh-CN"/>
              </w:rPr>
              <w:t>1</w:t>
            </w:r>
            <w:r>
              <w:rPr>
                <w:rFonts w:hint="eastAsia" w:ascii="宋体" w:hAnsi="宋体" w:cs="宋体"/>
                <w:kern w:val="0"/>
                <w:sz w:val="24"/>
                <w:szCs w:val="24"/>
              </w:rPr>
              <w:t>、</w:t>
            </w:r>
            <w:r>
              <w:rPr>
                <w:rFonts w:hint="eastAsia" w:ascii="宋体" w:hAnsi="宋体"/>
                <w:sz w:val="24"/>
                <w:szCs w:val="24"/>
                <w:lang w:val="zh-CN"/>
              </w:rPr>
              <w:t>近三年（自公告发布之日起向前追溯三年）</w:t>
            </w:r>
            <w:r>
              <w:rPr>
                <w:rFonts w:hint="eastAsia" w:ascii="宋体" w:hAnsi="宋体" w:cs="宋体"/>
                <w:kern w:val="0"/>
                <w:sz w:val="24"/>
                <w:szCs w:val="24"/>
              </w:rPr>
              <w:t>获得过中国建设工程造价管理协会颁发的造价咨询资信（或信用）评价的：AAA级及以上得5分，AA级得3分，A级得1分，其他不得分。（须提供证书）</w:t>
            </w:r>
          </w:p>
          <w:p w14:paraId="56E4BD80">
            <w:pPr>
              <w:widowControl/>
              <w:adjustRightInd w:val="0"/>
              <w:snapToGrid w:val="0"/>
              <w:spacing w:line="360" w:lineRule="auto"/>
              <w:rPr>
                <w:rFonts w:ascii="宋体" w:hAnsi="宋体" w:cs="宋体"/>
                <w:kern w:val="0"/>
                <w:sz w:val="24"/>
                <w:szCs w:val="24"/>
              </w:rPr>
            </w:pPr>
            <w:r>
              <w:rPr>
                <w:rFonts w:hint="eastAsia" w:ascii="宋体" w:hAnsi="宋体" w:cs="宋体"/>
                <w:kern w:val="0"/>
                <w:sz w:val="24"/>
                <w:szCs w:val="24"/>
                <w:lang w:val="en-US" w:eastAsia="zh-CN"/>
              </w:rPr>
              <w:t>2</w:t>
            </w:r>
            <w:r>
              <w:rPr>
                <w:rFonts w:hint="eastAsia" w:ascii="宋体" w:hAnsi="宋体" w:cs="宋体"/>
                <w:kern w:val="0"/>
                <w:sz w:val="24"/>
                <w:szCs w:val="24"/>
              </w:rPr>
              <w:t>、企业</w:t>
            </w:r>
            <w:r>
              <w:rPr>
                <w:rFonts w:hint="eastAsia" w:ascii="宋体" w:hAnsi="宋体" w:cs="宋体"/>
                <w:kern w:val="0"/>
                <w:sz w:val="24"/>
                <w:szCs w:val="24"/>
                <w:lang w:val="en-US" w:eastAsia="zh-CN"/>
              </w:rPr>
              <w:t>一级</w:t>
            </w:r>
            <w:r>
              <w:rPr>
                <w:rFonts w:hint="eastAsia" w:ascii="宋体" w:hAnsi="宋体" w:cs="宋体"/>
                <w:sz w:val="24"/>
                <w:szCs w:val="18"/>
              </w:rPr>
              <w:t>注册造价工程师</w:t>
            </w:r>
            <w:r>
              <w:rPr>
                <w:rFonts w:hint="eastAsia" w:ascii="宋体" w:hAnsi="宋体" w:cs="宋体"/>
                <w:kern w:val="0"/>
                <w:sz w:val="24"/>
                <w:szCs w:val="24"/>
              </w:rPr>
              <w:t>人员数量：具有6人得5分，每增加2人得1分，此项满分</w:t>
            </w:r>
            <w:r>
              <w:rPr>
                <w:rFonts w:hint="eastAsia" w:ascii="宋体" w:hAnsi="宋体" w:cs="宋体"/>
                <w:kern w:val="0"/>
                <w:sz w:val="24"/>
                <w:szCs w:val="24"/>
                <w:lang w:val="en-US" w:eastAsia="zh-CN"/>
              </w:rPr>
              <w:t>10</w:t>
            </w:r>
            <w:r>
              <w:rPr>
                <w:rFonts w:hint="eastAsia" w:ascii="宋体" w:hAnsi="宋体" w:cs="宋体"/>
                <w:kern w:val="0"/>
                <w:sz w:val="24"/>
                <w:szCs w:val="24"/>
              </w:rPr>
              <w:t>分。（须提供造价工程师注册信息查询网页截图）</w:t>
            </w:r>
          </w:p>
        </w:tc>
        <w:tc>
          <w:tcPr>
            <w:tcW w:w="1000" w:type="dxa"/>
            <w:vAlign w:val="center"/>
          </w:tcPr>
          <w:p w14:paraId="22D890D6">
            <w:pPr>
              <w:jc w:val="center"/>
              <w:rPr>
                <w:rFonts w:ascii="宋体" w:hAnsi="宋体" w:cs="宋体"/>
                <w:bCs/>
                <w:sz w:val="24"/>
                <w:szCs w:val="24"/>
              </w:rPr>
            </w:pPr>
            <w:r>
              <w:rPr>
                <w:rFonts w:hint="eastAsia" w:ascii="宋体" w:hAnsi="宋体" w:cs="宋体"/>
                <w:bCs/>
                <w:spacing w:val="-20"/>
                <w:sz w:val="24"/>
                <w:szCs w:val="24"/>
              </w:rPr>
              <w:t>0-</w:t>
            </w:r>
            <w:r>
              <w:rPr>
                <w:rFonts w:hint="eastAsia" w:ascii="宋体" w:hAnsi="宋体" w:cs="宋体"/>
                <w:bCs/>
                <w:sz w:val="24"/>
                <w:szCs w:val="24"/>
              </w:rPr>
              <w:t>15分</w:t>
            </w:r>
          </w:p>
        </w:tc>
      </w:tr>
      <w:tr w14:paraId="0D9B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17" w:type="dxa"/>
            <w:vMerge w:val="restart"/>
            <w:vAlign w:val="center"/>
          </w:tcPr>
          <w:p w14:paraId="7DF2FE79">
            <w:pPr>
              <w:widowControl/>
              <w:adjustRightInd w:val="0"/>
              <w:snapToGrid w:val="0"/>
              <w:jc w:val="center"/>
              <w:rPr>
                <w:rFonts w:ascii="宋体" w:hAnsi="宋体" w:cs="宋体"/>
                <w:kern w:val="0"/>
                <w:sz w:val="24"/>
                <w:szCs w:val="24"/>
              </w:rPr>
            </w:pPr>
            <w:r>
              <w:rPr>
                <w:rFonts w:hint="eastAsia" w:ascii="宋体" w:hAnsi="宋体" w:cs="宋体"/>
                <w:kern w:val="0"/>
                <w:sz w:val="24"/>
                <w:szCs w:val="24"/>
              </w:rPr>
              <w:t>企业业绩</w:t>
            </w:r>
            <w:r>
              <w:rPr>
                <w:rFonts w:hint="eastAsia" w:ascii="宋体" w:hAnsi="宋体" w:cs="宋体"/>
                <w:spacing w:val="4"/>
                <w:kern w:val="0"/>
                <w:sz w:val="24"/>
                <w:szCs w:val="24"/>
              </w:rPr>
              <w:t>（满分35分）</w:t>
            </w:r>
          </w:p>
        </w:tc>
        <w:tc>
          <w:tcPr>
            <w:tcW w:w="7867" w:type="dxa"/>
            <w:vAlign w:val="center"/>
          </w:tcPr>
          <w:p w14:paraId="1866476B">
            <w:pPr>
              <w:numPr>
                <w:ilvl w:val="0"/>
                <w:numId w:val="3"/>
              </w:numPr>
              <w:spacing w:line="360" w:lineRule="auto"/>
              <w:jc w:val="left"/>
              <w:rPr>
                <w:rFonts w:ascii="宋体" w:hAnsi="宋体"/>
                <w:kern w:val="0"/>
                <w:sz w:val="24"/>
                <w:szCs w:val="24"/>
              </w:rPr>
            </w:pPr>
            <w:r>
              <w:rPr>
                <w:rFonts w:hint="eastAsia" w:ascii="宋体" w:hAnsi="宋体"/>
                <w:kern w:val="0"/>
                <w:sz w:val="24"/>
                <w:szCs w:val="24"/>
              </w:rPr>
              <w:t>近三年（自公告发布之日起向前追溯三年）完成过单项投资金额达到5000万元以上（含5000万元）---1亿元以下的市政公用工程或房屋建筑工程项目清单及控制价编制业绩的</w:t>
            </w:r>
            <w:r>
              <w:rPr>
                <w:rFonts w:hint="eastAsia" w:ascii="宋体" w:hAnsi="宋体" w:cs="宋体"/>
                <w:kern w:val="0"/>
                <w:sz w:val="24"/>
                <w:szCs w:val="24"/>
              </w:rPr>
              <w:t>，</w:t>
            </w:r>
            <w:r>
              <w:rPr>
                <w:rFonts w:hint="eastAsia" w:ascii="宋体" w:hAnsi="宋体"/>
                <w:kern w:val="0"/>
                <w:sz w:val="24"/>
                <w:szCs w:val="24"/>
              </w:rPr>
              <w:t>每提供一项得3分；</w:t>
            </w:r>
          </w:p>
          <w:p w14:paraId="49F4367C">
            <w:pPr>
              <w:numPr>
                <w:ilvl w:val="0"/>
                <w:numId w:val="3"/>
              </w:numPr>
              <w:spacing w:line="360" w:lineRule="auto"/>
              <w:jc w:val="left"/>
              <w:rPr>
                <w:rFonts w:ascii="宋体" w:hAnsi="宋体"/>
                <w:kern w:val="0"/>
                <w:sz w:val="24"/>
                <w:szCs w:val="24"/>
              </w:rPr>
            </w:pPr>
            <w:r>
              <w:rPr>
                <w:rFonts w:hint="eastAsia" w:ascii="宋体" w:hAnsi="宋体"/>
                <w:kern w:val="0"/>
                <w:sz w:val="24"/>
                <w:szCs w:val="24"/>
              </w:rPr>
              <w:t>近三年（自公告发布之日起向前追溯三年）完成过单项投资金额达到1亿元及以上（含1亿元）---5亿元以下的市政公用工程或房屋建筑工程项目清单及控制价编制业绩的</w:t>
            </w:r>
            <w:r>
              <w:rPr>
                <w:rFonts w:hint="eastAsia" w:ascii="宋体" w:hAnsi="宋体" w:cs="宋体"/>
                <w:kern w:val="0"/>
                <w:sz w:val="24"/>
                <w:szCs w:val="24"/>
              </w:rPr>
              <w:t>，</w:t>
            </w:r>
            <w:r>
              <w:rPr>
                <w:rFonts w:hint="eastAsia" w:ascii="宋体" w:hAnsi="宋体"/>
                <w:kern w:val="0"/>
                <w:sz w:val="24"/>
                <w:szCs w:val="24"/>
              </w:rPr>
              <w:t>每提供一项得4分；</w:t>
            </w:r>
          </w:p>
          <w:p w14:paraId="77BE4DA6">
            <w:pPr>
              <w:numPr>
                <w:ilvl w:val="0"/>
                <w:numId w:val="3"/>
              </w:numPr>
              <w:spacing w:line="360" w:lineRule="auto"/>
              <w:jc w:val="left"/>
              <w:rPr>
                <w:rFonts w:ascii="宋体" w:hAnsi="宋体"/>
                <w:kern w:val="0"/>
                <w:sz w:val="24"/>
                <w:szCs w:val="24"/>
              </w:rPr>
            </w:pPr>
            <w:r>
              <w:rPr>
                <w:rFonts w:hint="eastAsia" w:ascii="宋体" w:hAnsi="宋体"/>
                <w:kern w:val="0"/>
                <w:sz w:val="24"/>
                <w:szCs w:val="24"/>
              </w:rPr>
              <w:t>近三年（自公告发布之日起向前追溯三年）完成过单项投资金额达到5亿元及以上的市政公用工程或房屋建筑工程项目清单及控制价编制业绩的</w:t>
            </w:r>
            <w:r>
              <w:rPr>
                <w:rFonts w:hint="eastAsia" w:ascii="宋体" w:hAnsi="宋体" w:cs="宋体"/>
                <w:kern w:val="0"/>
                <w:sz w:val="24"/>
                <w:szCs w:val="24"/>
              </w:rPr>
              <w:t>，</w:t>
            </w:r>
            <w:r>
              <w:rPr>
                <w:rFonts w:hint="eastAsia" w:ascii="宋体" w:hAnsi="宋体"/>
                <w:kern w:val="0"/>
                <w:sz w:val="24"/>
                <w:szCs w:val="24"/>
              </w:rPr>
              <w:t>每提供一项得5分；</w:t>
            </w:r>
          </w:p>
          <w:p w14:paraId="7A9F55A1">
            <w:pPr>
              <w:spacing w:line="360" w:lineRule="auto"/>
              <w:jc w:val="left"/>
              <w:rPr>
                <w:rFonts w:ascii="宋体" w:hAnsi="宋体"/>
                <w:kern w:val="0"/>
                <w:sz w:val="24"/>
                <w:szCs w:val="24"/>
              </w:rPr>
            </w:pPr>
            <w:r>
              <w:rPr>
                <w:rFonts w:hint="eastAsia" w:ascii="宋体" w:hAnsi="宋体"/>
                <w:kern w:val="0"/>
                <w:sz w:val="24"/>
                <w:szCs w:val="24"/>
              </w:rPr>
              <w:t>4、此项满分20分。</w:t>
            </w:r>
          </w:p>
          <w:p w14:paraId="461CD2E8">
            <w:pPr>
              <w:spacing w:line="360" w:lineRule="auto"/>
              <w:jc w:val="left"/>
              <w:rPr>
                <w:rFonts w:ascii="宋体" w:hAnsi="宋体"/>
                <w:kern w:val="0"/>
                <w:sz w:val="24"/>
                <w:szCs w:val="24"/>
              </w:rPr>
            </w:pPr>
            <w:r>
              <w:rPr>
                <w:rFonts w:hint="eastAsia" w:ascii="宋体" w:hAnsi="宋体"/>
                <w:kern w:val="0"/>
                <w:sz w:val="24"/>
                <w:szCs w:val="24"/>
              </w:rPr>
              <w:t>注：</w:t>
            </w:r>
            <w:r>
              <w:rPr>
                <w:rFonts w:hint="eastAsia" w:ascii="宋体" w:hAnsi="宋体" w:cs="宋体"/>
                <w:kern w:val="0"/>
                <w:sz w:val="24"/>
                <w:szCs w:val="18"/>
              </w:rPr>
              <w:t>须提供咨询合同复印件、最高投标限价及成果文件备案登记表（须加盖工程造价咨询单位、招标人、备案管理部门印章，否则不作为有效业绩）复印件</w:t>
            </w:r>
            <w:r>
              <w:rPr>
                <w:rFonts w:hint="eastAsia" w:ascii="宋体" w:hAnsi="宋体"/>
                <w:kern w:val="0"/>
                <w:sz w:val="24"/>
                <w:szCs w:val="24"/>
              </w:rPr>
              <w:t>，且上述证明材料中委托人须对应，时间以合同签订时间为准，单项投资金额以成果文件中载明的金额为准。</w:t>
            </w:r>
          </w:p>
        </w:tc>
        <w:tc>
          <w:tcPr>
            <w:tcW w:w="1000" w:type="dxa"/>
            <w:vAlign w:val="center"/>
          </w:tcPr>
          <w:p w14:paraId="256670F6">
            <w:pPr>
              <w:jc w:val="center"/>
              <w:rPr>
                <w:rFonts w:ascii="宋体" w:hAnsi="宋体" w:cs="宋体"/>
                <w:bCs/>
                <w:sz w:val="24"/>
                <w:szCs w:val="24"/>
              </w:rPr>
            </w:pPr>
            <w:r>
              <w:rPr>
                <w:rFonts w:hint="eastAsia" w:ascii="宋体" w:hAnsi="宋体" w:cs="宋体"/>
                <w:bCs/>
                <w:spacing w:val="-20"/>
                <w:sz w:val="24"/>
                <w:szCs w:val="24"/>
              </w:rPr>
              <w:t>0-</w:t>
            </w:r>
            <w:r>
              <w:rPr>
                <w:rFonts w:hint="eastAsia" w:ascii="宋体" w:hAnsi="宋体" w:cs="宋体"/>
                <w:bCs/>
                <w:sz w:val="24"/>
                <w:szCs w:val="24"/>
              </w:rPr>
              <w:t>20分</w:t>
            </w:r>
          </w:p>
        </w:tc>
      </w:tr>
      <w:tr w14:paraId="2DFA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17" w:type="dxa"/>
            <w:vMerge w:val="continue"/>
            <w:vAlign w:val="center"/>
          </w:tcPr>
          <w:p w14:paraId="0A2955FA">
            <w:pPr>
              <w:widowControl/>
              <w:adjustRightInd w:val="0"/>
              <w:snapToGrid w:val="0"/>
              <w:jc w:val="center"/>
              <w:rPr>
                <w:rFonts w:ascii="宋体" w:hAnsi="宋体" w:cs="宋体"/>
                <w:kern w:val="0"/>
                <w:sz w:val="24"/>
                <w:szCs w:val="24"/>
              </w:rPr>
            </w:pPr>
          </w:p>
        </w:tc>
        <w:tc>
          <w:tcPr>
            <w:tcW w:w="7867" w:type="dxa"/>
            <w:vAlign w:val="center"/>
          </w:tcPr>
          <w:p w14:paraId="70C621BE">
            <w:pPr>
              <w:spacing w:line="360" w:lineRule="auto"/>
              <w:jc w:val="left"/>
              <w:rPr>
                <w:rFonts w:ascii="宋体" w:hAnsi="宋体"/>
                <w:kern w:val="0"/>
                <w:sz w:val="24"/>
                <w:szCs w:val="24"/>
              </w:rPr>
            </w:pPr>
            <w:r>
              <w:rPr>
                <w:rFonts w:hint="eastAsia" w:ascii="宋体" w:hAnsi="宋体"/>
                <w:kern w:val="0"/>
                <w:sz w:val="24"/>
                <w:szCs w:val="24"/>
              </w:rPr>
              <w:t>1、近三年（自公告发布之日起向前追溯三年）完成过单项投资金额</w:t>
            </w:r>
            <w:r>
              <w:rPr>
                <w:rFonts w:hint="eastAsia" w:ascii="宋体" w:hAnsi="宋体" w:cs="宋体"/>
                <w:kern w:val="0"/>
                <w:sz w:val="24"/>
                <w:szCs w:val="22"/>
              </w:rPr>
              <w:t>（审定造价）</w:t>
            </w:r>
            <w:r>
              <w:rPr>
                <w:rFonts w:hint="eastAsia" w:ascii="宋体" w:hAnsi="宋体"/>
                <w:kern w:val="0"/>
                <w:sz w:val="24"/>
                <w:szCs w:val="24"/>
              </w:rPr>
              <w:t>达到5亿元及以上的市政公用工程或房屋建筑工程项目</w:t>
            </w:r>
            <w:r>
              <w:rPr>
                <w:rFonts w:hint="eastAsia" w:ascii="宋体" w:hAnsi="宋体" w:cs="宋体"/>
                <w:kern w:val="0"/>
                <w:sz w:val="24"/>
                <w:szCs w:val="22"/>
              </w:rPr>
              <w:t>审计</w:t>
            </w:r>
            <w:r>
              <w:rPr>
                <w:rFonts w:hint="eastAsia" w:ascii="宋体" w:hAnsi="宋体"/>
                <w:kern w:val="0"/>
                <w:sz w:val="24"/>
                <w:szCs w:val="24"/>
              </w:rPr>
              <w:t>业绩的（不含跟踪审计），每提供一项得5分；</w:t>
            </w:r>
          </w:p>
          <w:p w14:paraId="077BE0AE">
            <w:pPr>
              <w:spacing w:line="360" w:lineRule="auto"/>
              <w:jc w:val="left"/>
              <w:rPr>
                <w:rFonts w:ascii="宋体" w:hAnsi="宋体"/>
                <w:kern w:val="0"/>
                <w:sz w:val="24"/>
                <w:szCs w:val="24"/>
              </w:rPr>
            </w:pPr>
            <w:r>
              <w:rPr>
                <w:rFonts w:hint="eastAsia" w:ascii="宋体" w:hAnsi="宋体"/>
                <w:kern w:val="0"/>
                <w:sz w:val="24"/>
                <w:szCs w:val="24"/>
              </w:rPr>
              <w:t>2、近三年（自公告发布之日起向前追溯三年）完成过单项投资金额</w:t>
            </w:r>
            <w:r>
              <w:rPr>
                <w:rFonts w:hint="eastAsia" w:ascii="宋体" w:hAnsi="宋体" w:cs="宋体"/>
                <w:kern w:val="0"/>
                <w:sz w:val="24"/>
                <w:szCs w:val="22"/>
              </w:rPr>
              <w:t>（审定造价）</w:t>
            </w:r>
            <w:r>
              <w:rPr>
                <w:rFonts w:hint="eastAsia" w:ascii="宋体" w:hAnsi="宋体"/>
                <w:kern w:val="0"/>
                <w:sz w:val="24"/>
                <w:szCs w:val="24"/>
              </w:rPr>
              <w:t>达到1亿元及以上（含1亿元）---5亿元以下的市政公用工程或房屋建筑工程项目</w:t>
            </w:r>
            <w:r>
              <w:rPr>
                <w:rFonts w:hint="eastAsia" w:ascii="宋体" w:hAnsi="宋体" w:cs="宋体"/>
                <w:kern w:val="0"/>
                <w:sz w:val="24"/>
                <w:szCs w:val="22"/>
              </w:rPr>
              <w:t>审计</w:t>
            </w:r>
            <w:r>
              <w:rPr>
                <w:rFonts w:hint="eastAsia" w:ascii="宋体" w:hAnsi="宋体"/>
                <w:kern w:val="0"/>
                <w:sz w:val="24"/>
                <w:szCs w:val="24"/>
              </w:rPr>
              <w:t>业绩的（不含跟踪审计），每提供一项得4分；</w:t>
            </w:r>
          </w:p>
          <w:p w14:paraId="4C8AD534">
            <w:pPr>
              <w:spacing w:line="360" w:lineRule="auto"/>
              <w:jc w:val="left"/>
              <w:rPr>
                <w:rFonts w:ascii="宋体" w:hAnsi="宋体"/>
                <w:kern w:val="0"/>
                <w:sz w:val="24"/>
                <w:szCs w:val="24"/>
              </w:rPr>
            </w:pPr>
            <w:r>
              <w:rPr>
                <w:rFonts w:hint="eastAsia" w:ascii="宋体" w:hAnsi="宋体"/>
                <w:kern w:val="0"/>
                <w:sz w:val="24"/>
                <w:szCs w:val="24"/>
              </w:rPr>
              <w:t>3、近三年（自公告发布之日起向前追溯三年）完成过单项投资金额</w:t>
            </w:r>
            <w:r>
              <w:rPr>
                <w:rFonts w:hint="eastAsia" w:ascii="宋体" w:hAnsi="宋体" w:cs="宋体"/>
                <w:kern w:val="0"/>
                <w:sz w:val="24"/>
                <w:szCs w:val="22"/>
              </w:rPr>
              <w:t>（审定造价）</w:t>
            </w:r>
            <w:r>
              <w:rPr>
                <w:rFonts w:hint="eastAsia" w:ascii="宋体" w:hAnsi="宋体"/>
                <w:kern w:val="0"/>
                <w:sz w:val="24"/>
                <w:szCs w:val="24"/>
              </w:rPr>
              <w:t>达到5000万元以上（含5000万元）---1亿元以下的市政或房屋建筑工程项目</w:t>
            </w:r>
            <w:r>
              <w:rPr>
                <w:rFonts w:hint="eastAsia" w:ascii="宋体" w:hAnsi="宋体" w:cs="宋体"/>
                <w:kern w:val="0"/>
                <w:sz w:val="24"/>
                <w:szCs w:val="22"/>
              </w:rPr>
              <w:t>审计</w:t>
            </w:r>
            <w:r>
              <w:rPr>
                <w:rFonts w:hint="eastAsia" w:ascii="宋体" w:hAnsi="宋体"/>
                <w:kern w:val="0"/>
                <w:sz w:val="24"/>
                <w:szCs w:val="24"/>
              </w:rPr>
              <w:t>业绩的（不含跟踪审计）</w:t>
            </w:r>
            <w:r>
              <w:rPr>
                <w:rFonts w:hint="eastAsia" w:ascii="宋体" w:hAnsi="宋体" w:cs="宋体"/>
                <w:kern w:val="0"/>
                <w:sz w:val="24"/>
                <w:szCs w:val="24"/>
              </w:rPr>
              <w:t>，</w:t>
            </w:r>
            <w:r>
              <w:rPr>
                <w:rFonts w:hint="eastAsia" w:ascii="宋体" w:hAnsi="宋体"/>
                <w:kern w:val="0"/>
                <w:sz w:val="24"/>
                <w:szCs w:val="24"/>
              </w:rPr>
              <w:t>每提供一项得3分；</w:t>
            </w:r>
          </w:p>
          <w:p w14:paraId="3454C3AB">
            <w:pPr>
              <w:spacing w:line="360" w:lineRule="auto"/>
              <w:jc w:val="left"/>
              <w:rPr>
                <w:rFonts w:ascii="宋体" w:hAnsi="宋体"/>
                <w:kern w:val="0"/>
                <w:sz w:val="24"/>
                <w:szCs w:val="24"/>
              </w:rPr>
            </w:pPr>
            <w:r>
              <w:rPr>
                <w:rFonts w:hint="eastAsia" w:ascii="宋体" w:hAnsi="宋体"/>
                <w:kern w:val="0"/>
                <w:sz w:val="24"/>
                <w:szCs w:val="24"/>
              </w:rPr>
              <w:t>4、此项满分15分。</w:t>
            </w:r>
          </w:p>
          <w:p w14:paraId="48B38912">
            <w:pPr>
              <w:adjustRightInd w:val="0"/>
              <w:snapToGrid w:val="0"/>
              <w:spacing w:line="360" w:lineRule="auto"/>
              <w:ind w:right="-11"/>
              <w:jc w:val="left"/>
              <w:rPr>
                <w:rFonts w:ascii="宋体" w:hAnsi="宋体" w:cs="宋体"/>
                <w:sz w:val="24"/>
                <w:szCs w:val="20"/>
              </w:rPr>
            </w:pPr>
            <w:r>
              <w:rPr>
                <w:rFonts w:ascii="宋体" w:hAnsi="宋体" w:cs="宋体"/>
                <w:sz w:val="24"/>
                <w:szCs w:val="20"/>
              </w:rPr>
              <w:t>注：</w:t>
            </w:r>
            <w:r>
              <w:rPr>
                <w:rFonts w:hint="eastAsia" w:ascii="宋体" w:hAnsi="宋体" w:cs="宋体"/>
                <w:sz w:val="24"/>
                <w:szCs w:val="20"/>
              </w:rPr>
              <w:t>（1）业绩</w:t>
            </w:r>
            <w:r>
              <w:rPr>
                <w:rFonts w:ascii="宋体" w:hAnsi="宋体" w:cs="宋体"/>
                <w:sz w:val="24"/>
                <w:szCs w:val="20"/>
              </w:rPr>
              <w:t>须</w:t>
            </w:r>
            <w:r>
              <w:rPr>
                <w:rFonts w:hint="eastAsia" w:ascii="宋体" w:hAnsi="宋体" w:cs="宋体"/>
                <w:sz w:val="24"/>
                <w:szCs w:val="20"/>
              </w:rPr>
              <w:t>提供审计业务委托合同（或委托证明）、审计报告（或定案表）、施工合同的“协议书”等有效证明扫描件或影印件；</w:t>
            </w:r>
          </w:p>
          <w:p w14:paraId="4AEF5AB5">
            <w:pPr>
              <w:adjustRightInd w:val="0"/>
              <w:snapToGrid w:val="0"/>
              <w:spacing w:line="360" w:lineRule="auto"/>
              <w:ind w:right="-11"/>
              <w:jc w:val="left"/>
              <w:rPr>
                <w:rFonts w:ascii="宋体" w:hAnsi="宋体"/>
                <w:sz w:val="24"/>
                <w:szCs w:val="24"/>
              </w:rPr>
            </w:pPr>
            <w:r>
              <w:rPr>
                <w:rFonts w:hint="eastAsia" w:ascii="宋体" w:hAnsi="宋体" w:cs="宋体"/>
                <w:sz w:val="24"/>
                <w:szCs w:val="20"/>
              </w:rPr>
              <w:t>（2）认定</w:t>
            </w:r>
            <w:r>
              <w:rPr>
                <w:rFonts w:ascii="宋体" w:hAnsi="宋体" w:cs="宋体"/>
                <w:sz w:val="24"/>
                <w:szCs w:val="20"/>
              </w:rPr>
              <w:t>时间及金额以正式审计成果文件载明的最终审计结果为准，是否为单项工程以施工合同为准</w:t>
            </w:r>
            <w:r>
              <w:rPr>
                <w:rFonts w:hint="eastAsia" w:ascii="宋体" w:hAnsi="宋体" w:cs="宋体"/>
                <w:sz w:val="24"/>
                <w:szCs w:val="20"/>
              </w:rPr>
              <w:t>，如不能体现时间、项目内容类别、工程造价的，须由委托人出具加盖委托人公章的证明材料复印件；</w:t>
            </w:r>
          </w:p>
        </w:tc>
        <w:tc>
          <w:tcPr>
            <w:tcW w:w="1000" w:type="dxa"/>
            <w:vAlign w:val="center"/>
          </w:tcPr>
          <w:p w14:paraId="146A84C9">
            <w:pPr>
              <w:jc w:val="center"/>
              <w:rPr>
                <w:rFonts w:ascii="宋体" w:hAnsi="宋体" w:cs="宋体"/>
                <w:bCs/>
                <w:spacing w:val="-20"/>
                <w:sz w:val="24"/>
                <w:szCs w:val="24"/>
              </w:rPr>
            </w:pPr>
            <w:r>
              <w:rPr>
                <w:rFonts w:hint="eastAsia" w:ascii="宋体" w:hAnsi="宋体" w:cs="宋体"/>
                <w:bCs/>
                <w:spacing w:val="-20"/>
                <w:sz w:val="24"/>
                <w:szCs w:val="24"/>
              </w:rPr>
              <w:t>0-</w:t>
            </w:r>
            <w:r>
              <w:rPr>
                <w:rFonts w:hint="eastAsia" w:ascii="宋体" w:hAnsi="宋体" w:cs="宋体"/>
                <w:bCs/>
                <w:sz w:val="24"/>
                <w:szCs w:val="24"/>
              </w:rPr>
              <w:t>15分</w:t>
            </w:r>
          </w:p>
        </w:tc>
      </w:tr>
      <w:tr w14:paraId="0BE9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17" w:type="dxa"/>
            <w:vAlign w:val="center"/>
          </w:tcPr>
          <w:p w14:paraId="3E41C364">
            <w:pPr>
              <w:widowControl/>
              <w:adjustRightInd w:val="0"/>
              <w:snapToGrid w:val="0"/>
              <w:jc w:val="center"/>
              <w:rPr>
                <w:rFonts w:ascii="宋体" w:hAnsi="宋体" w:cs="宋体"/>
                <w:strike/>
                <w:kern w:val="0"/>
                <w:sz w:val="24"/>
                <w:szCs w:val="24"/>
              </w:rPr>
            </w:pPr>
            <w:r>
              <w:rPr>
                <w:rFonts w:hint="eastAsia" w:ascii="宋体" w:hAnsi="宋体" w:cs="宋体"/>
                <w:sz w:val="24"/>
                <w:szCs w:val="24"/>
              </w:rPr>
              <w:t>拟派项目班子成员</w:t>
            </w:r>
            <w:r>
              <w:rPr>
                <w:rFonts w:hint="eastAsia" w:ascii="宋体" w:hAnsi="宋体" w:cs="宋体"/>
                <w:spacing w:val="4"/>
                <w:kern w:val="0"/>
                <w:sz w:val="24"/>
                <w:szCs w:val="24"/>
              </w:rPr>
              <w:t>（满分10分）</w:t>
            </w:r>
          </w:p>
        </w:tc>
        <w:tc>
          <w:tcPr>
            <w:tcW w:w="7867" w:type="dxa"/>
            <w:vAlign w:val="center"/>
          </w:tcPr>
          <w:p w14:paraId="1B8F9496">
            <w:pPr>
              <w:spacing w:line="360" w:lineRule="auto"/>
              <w:jc w:val="left"/>
              <w:rPr>
                <w:rFonts w:ascii="宋体" w:hAnsi="宋体" w:cs="宋体"/>
                <w:kern w:val="0"/>
                <w:sz w:val="24"/>
                <w:szCs w:val="24"/>
              </w:rPr>
            </w:pPr>
            <w:r>
              <w:rPr>
                <w:rFonts w:hint="eastAsia" w:ascii="宋体" w:hAnsi="宋体" w:cs="宋体"/>
                <w:kern w:val="0"/>
                <w:sz w:val="24"/>
                <w:szCs w:val="24"/>
              </w:rPr>
              <w:t>拟派项目班子成员配备的造价工程师人数为</w:t>
            </w:r>
            <w:r>
              <w:rPr>
                <w:rFonts w:hint="eastAsia" w:ascii="宋体" w:hAnsi="宋体" w:cs="宋体"/>
                <w:kern w:val="0"/>
                <w:sz w:val="24"/>
                <w:szCs w:val="24"/>
                <w:lang w:val="en-US" w:eastAsia="zh-CN"/>
              </w:rPr>
              <w:t>5</w:t>
            </w:r>
            <w:r>
              <w:rPr>
                <w:rFonts w:hint="eastAsia" w:ascii="宋体" w:hAnsi="宋体" w:cs="宋体"/>
                <w:kern w:val="0"/>
                <w:sz w:val="24"/>
                <w:szCs w:val="24"/>
              </w:rPr>
              <w:t>人的得基本分6分，每增加1名</w:t>
            </w:r>
            <w:r>
              <w:rPr>
                <w:rFonts w:hint="eastAsia" w:ascii="宋体" w:hAnsi="宋体" w:cs="宋体"/>
                <w:kern w:val="0"/>
                <w:sz w:val="24"/>
                <w:szCs w:val="24"/>
                <w:lang w:val="en-US" w:eastAsia="zh-CN"/>
              </w:rPr>
              <w:t>一级</w:t>
            </w:r>
            <w:r>
              <w:rPr>
                <w:rFonts w:hint="eastAsia" w:ascii="宋体" w:hAnsi="宋体" w:cs="宋体"/>
                <w:kern w:val="0"/>
                <w:sz w:val="24"/>
                <w:szCs w:val="24"/>
              </w:rPr>
              <w:t>注册造价工程师且具有工程类高级工程师</w:t>
            </w:r>
            <w:r>
              <w:rPr>
                <w:rFonts w:hint="eastAsia" w:ascii="宋体" w:hAnsi="宋体" w:cs="宋体"/>
                <w:kern w:val="0"/>
                <w:sz w:val="24"/>
                <w:szCs w:val="24"/>
                <w:lang w:val="en-US" w:eastAsia="zh-CN"/>
              </w:rPr>
              <w:t>及以上</w:t>
            </w:r>
            <w:r>
              <w:rPr>
                <w:rFonts w:hint="eastAsia" w:ascii="宋体" w:hAnsi="宋体" w:cs="宋体"/>
                <w:kern w:val="0"/>
                <w:sz w:val="24"/>
                <w:szCs w:val="24"/>
              </w:rPr>
              <w:t>职称的，加2分；此项满分10分。</w:t>
            </w:r>
          </w:p>
          <w:p w14:paraId="75417D8D">
            <w:pPr>
              <w:spacing w:line="360" w:lineRule="auto"/>
              <w:jc w:val="left"/>
              <w:rPr>
                <w:rFonts w:ascii="宋体" w:hAnsi="宋体" w:cs="宋体"/>
                <w:kern w:val="0"/>
                <w:sz w:val="24"/>
                <w:szCs w:val="24"/>
              </w:rPr>
            </w:pPr>
            <w:r>
              <w:rPr>
                <w:rFonts w:hint="eastAsia" w:ascii="宋体" w:hAnsi="宋体" w:cs="宋体"/>
                <w:kern w:val="0"/>
                <w:sz w:val="24"/>
                <w:szCs w:val="24"/>
              </w:rPr>
              <w:t>（须提供证书及202</w:t>
            </w:r>
            <w:r>
              <w:rPr>
                <w:rFonts w:hint="eastAsia" w:ascii="宋体" w:hAnsi="宋体" w:cs="宋体"/>
                <w:kern w:val="0"/>
                <w:sz w:val="24"/>
                <w:szCs w:val="24"/>
                <w:lang w:val="en-US" w:eastAsia="zh-CN"/>
              </w:rPr>
              <w:t>1</w:t>
            </w:r>
            <w:r>
              <w:rPr>
                <w:rFonts w:hint="eastAsia" w:ascii="宋体" w:hAnsi="宋体" w:cs="宋体"/>
                <w:kern w:val="0"/>
                <w:sz w:val="24"/>
                <w:szCs w:val="24"/>
              </w:rPr>
              <w:t>年1月1日以来不低于12个月的投标人为其连续缴纳的社保证明）</w:t>
            </w:r>
          </w:p>
        </w:tc>
        <w:tc>
          <w:tcPr>
            <w:tcW w:w="1000" w:type="dxa"/>
            <w:vAlign w:val="center"/>
          </w:tcPr>
          <w:p w14:paraId="3B95EBF1">
            <w:pPr>
              <w:jc w:val="center"/>
              <w:rPr>
                <w:rFonts w:ascii="宋体" w:hAnsi="宋体" w:cs="宋体"/>
                <w:bCs/>
                <w:sz w:val="24"/>
                <w:szCs w:val="24"/>
              </w:rPr>
            </w:pPr>
            <w:r>
              <w:rPr>
                <w:rFonts w:hint="eastAsia" w:ascii="宋体" w:hAnsi="宋体" w:cs="宋体"/>
                <w:bCs/>
                <w:spacing w:val="-20"/>
                <w:sz w:val="24"/>
                <w:szCs w:val="24"/>
              </w:rPr>
              <w:t>0-</w:t>
            </w:r>
            <w:r>
              <w:rPr>
                <w:rFonts w:hint="eastAsia" w:ascii="宋体" w:hAnsi="宋体" w:cs="宋体"/>
                <w:bCs/>
                <w:sz w:val="24"/>
                <w:szCs w:val="24"/>
              </w:rPr>
              <w:t>10分</w:t>
            </w:r>
          </w:p>
        </w:tc>
      </w:tr>
      <w:tr w14:paraId="784B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17" w:type="dxa"/>
            <w:vAlign w:val="center"/>
          </w:tcPr>
          <w:p w14:paraId="5FE26E5F">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本地化服务</w:t>
            </w:r>
            <w:r>
              <w:rPr>
                <w:rFonts w:hint="eastAsia" w:ascii="宋体" w:hAnsi="宋体" w:cs="宋体"/>
                <w:spacing w:val="4"/>
                <w:kern w:val="0"/>
                <w:sz w:val="24"/>
                <w:szCs w:val="24"/>
              </w:rPr>
              <w:t>（满分10分）</w:t>
            </w:r>
          </w:p>
        </w:tc>
        <w:tc>
          <w:tcPr>
            <w:tcW w:w="7867" w:type="dxa"/>
            <w:vAlign w:val="center"/>
          </w:tcPr>
          <w:p w14:paraId="2C5F35FD">
            <w:pPr>
              <w:widowControl/>
              <w:adjustRightInd w:val="0"/>
              <w:snapToGrid w:val="0"/>
              <w:spacing w:line="360" w:lineRule="auto"/>
              <w:rPr>
                <w:rFonts w:ascii="宋体" w:hAnsi="宋体" w:cs="宋体"/>
                <w:kern w:val="0"/>
                <w:sz w:val="24"/>
                <w:szCs w:val="24"/>
              </w:rPr>
            </w:pPr>
            <w:r>
              <w:rPr>
                <w:rFonts w:hint="eastAsia" w:ascii="宋体" w:hAnsi="宋体" w:cs="宋体"/>
                <w:kern w:val="0"/>
                <w:sz w:val="24"/>
                <w:szCs w:val="24"/>
              </w:rPr>
              <w:t>本项目投标截止时间前，投标人已在阜阳市（三区内）具有办公场所（不包含住宅性质的房屋</w:t>
            </w:r>
            <w:r>
              <w:rPr>
                <w:rFonts w:hint="eastAsia" w:ascii="宋体" w:hAnsi="宋体" w:cs="宋体"/>
                <w:kern w:val="0"/>
                <w:sz w:val="24"/>
                <w:szCs w:val="24"/>
                <w:lang w:eastAsia="zh-CN"/>
              </w:rPr>
              <w:t>）</w:t>
            </w:r>
            <w:r>
              <w:rPr>
                <w:rFonts w:hint="eastAsia" w:ascii="宋体" w:hAnsi="宋体" w:cs="宋体"/>
                <w:kern w:val="0"/>
                <w:sz w:val="24"/>
                <w:szCs w:val="24"/>
              </w:rPr>
              <w:t>的：</w:t>
            </w:r>
          </w:p>
          <w:p w14:paraId="124DD87A">
            <w:pPr>
              <w:widowControl/>
              <w:adjustRightInd w:val="0"/>
              <w:snapToGrid w:val="0"/>
              <w:spacing w:line="360" w:lineRule="auto"/>
              <w:rPr>
                <w:rFonts w:hint="default" w:ascii="宋体" w:hAnsi="宋体" w:cs="宋体"/>
                <w:kern w:val="0"/>
                <w:sz w:val="24"/>
                <w:szCs w:val="24"/>
                <w:lang w:val="en-US"/>
              </w:rPr>
            </w:pPr>
            <w:r>
              <w:rPr>
                <w:rFonts w:hint="eastAsia" w:ascii="宋体" w:hAnsi="宋体" w:cs="宋体"/>
                <w:kern w:val="0"/>
                <w:sz w:val="24"/>
                <w:szCs w:val="24"/>
              </w:rPr>
              <w:t>办公场所面积在：100</w:t>
            </w:r>
            <w:r>
              <w:rPr>
                <w:rFonts w:hint="eastAsia" w:ascii="宋体" w:hAnsi="宋体" w:cs="宋体"/>
                <w:kern w:val="0"/>
                <w:sz w:val="24"/>
                <w:szCs w:val="24"/>
                <w:lang w:val="en-US" w:eastAsia="zh-CN"/>
              </w:rPr>
              <w:t>平方米及</w:t>
            </w:r>
            <w:r>
              <w:rPr>
                <w:rFonts w:hint="eastAsia" w:ascii="宋体" w:hAnsi="宋体" w:cs="宋体"/>
                <w:kern w:val="0"/>
                <w:sz w:val="24"/>
                <w:szCs w:val="24"/>
              </w:rPr>
              <w:t>以上的得10分；</w:t>
            </w:r>
            <w:r>
              <w:rPr>
                <w:rFonts w:hint="eastAsia" w:ascii="宋体" w:hAnsi="宋体" w:cs="宋体"/>
                <w:kern w:val="0"/>
                <w:sz w:val="24"/>
                <w:szCs w:val="24"/>
                <w:lang w:val="en-US" w:eastAsia="zh-CN"/>
              </w:rPr>
              <w:t>没有的不得分。</w:t>
            </w:r>
          </w:p>
          <w:p w14:paraId="5B6664FC">
            <w:pPr>
              <w:widowControl/>
              <w:adjustRightInd w:val="0"/>
              <w:snapToGrid w:val="0"/>
              <w:spacing w:line="360" w:lineRule="auto"/>
              <w:rPr>
                <w:rFonts w:ascii="宋体" w:hAnsi="宋体"/>
                <w:kern w:val="0"/>
                <w:sz w:val="24"/>
                <w:szCs w:val="24"/>
              </w:rPr>
            </w:pPr>
            <w:r>
              <w:rPr>
                <w:rFonts w:hint="eastAsia" w:ascii="宋体" w:hAnsi="宋体"/>
                <w:kern w:val="0"/>
                <w:sz w:val="24"/>
                <w:szCs w:val="24"/>
              </w:rPr>
              <w:t>注：1、办公场所为租赁的，租赁协议中承租人名称应与投标人名称或其分支机构名称一致，需提交不动产权证、租赁协议（仍在租赁期内）、房屋租赁备案登记证明。</w:t>
            </w:r>
          </w:p>
          <w:p w14:paraId="274E8FC6">
            <w:pPr>
              <w:widowControl/>
              <w:numPr>
                <w:ilvl w:val="0"/>
                <w:numId w:val="4"/>
              </w:numPr>
              <w:adjustRightInd w:val="0"/>
              <w:snapToGrid w:val="0"/>
              <w:spacing w:line="360" w:lineRule="auto"/>
              <w:rPr>
                <w:rFonts w:ascii="宋体" w:hAnsi="宋体"/>
                <w:kern w:val="0"/>
                <w:sz w:val="24"/>
                <w:szCs w:val="24"/>
              </w:rPr>
            </w:pPr>
            <w:r>
              <w:rPr>
                <w:rFonts w:hint="eastAsia" w:ascii="宋体" w:hAnsi="宋体"/>
                <w:kern w:val="0"/>
                <w:sz w:val="24"/>
                <w:szCs w:val="24"/>
              </w:rPr>
              <w:t>办公场所为投标人自有的，需提交不动产权证，产权所有人须为投标人或其法定代表人。</w:t>
            </w:r>
          </w:p>
          <w:p w14:paraId="04814D9C">
            <w:pPr>
              <w:widowControl/>
              <w:adjustRightInd w:val="0"/>
              <w:snapToGrid w:val="0"/>
              <w:spacing w:line="360" w:lineRule="auto"/>
              <w:rPr>
                <w:rFonts w:ascii="宋体" w:hAnsi="宋体" w:cs="宋体"/>
                <w:kern w:val="0"/>
                <w:sz w:val="24"/>
                <w:szCs w:val="24"/>
              </w:rPr>
            </w:pPr>
            <w:r>
              <w:rPr>
                <w:rFonts w:hint="eastAsia" w:ascii="宋体" w:hAnsi="宋体"/>
                <w:kern w:val="0"/>
                <w:sz w:val="24"/>
                <w:szCs w:val="24"/>
              </w:rPr>
              <w:t>3、办公场所证明材料仅为同一地点，提供多处的不予认可。</w:t>
            </w:r>
          </w:p>
        </w:tc>
        <w:tc>
          <w:tcPr>
            <w:tcW w:w="1000" w:type="dxa"/>
            <w:vAlign w:val="center"/>
          </w:tcPr>
          <w:p w14:paraId="76D5972E">
            <w:pPr>
              <w:jc w:val="center"/>
              <w:rPr>
                <w:rFonts w:ascii="宋体" w:hAnsi="宋体" w:cs="宋体"/>
                <w:sz w:val="24"/>
                <w:szCs w:val="24"/>
              </w:rPr>
            </w:pPr>
            <w:r>
              <w:rPr>
                <w:rFonts w:hint="eastAsia" w:ascii="宋体" w:hAnsi="宋体" w:cs="宋体"/>
                <w:bCs/>
                <w:spacing w:val="-20"/>
                <w:sz w:val="24"/>
                <w:szCs w:val="24"/>
              </w:rPr>
              <w:t>0-</w:t>
            </w:r>
            <w:r>
              <w:rPr>
                <w:rFonts w:hint="eastAsia" w:ascii="宋体" w:hAnsi="宋体" w:cs="宋体"/>
                <w:bCs/>
                <w:sz w:val="24"/>
                <w:szCs w:val="24"/>
              </w:rPr>
              <w:t>10分</w:t>
            </w:r>
          </w:p>
        </w:tc>
      </w:tr>
      <w:tr w14:paraId="49B2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17" w:type="dxa"/>
            <w:vMerge w:val="restart"/>
            <w:vAlign w:val="center"/>
          </w:tcPr>
          <w:p w14:paraId="2D336274">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服务方案</w:t>
            </w:r>
            <w:r>
              <w:rPr>
                <w:rFonts w:hint="eastAsia" w:ascii="宋体" w:hAnsi="宋体" w:cs="宋体"/>
                <w:spacing w:val="4"/>
                <w:kern w:val="0"/>
                <w:sz w:val="24"/>
                <w:szCs w:val="24"/>
              </w:rPr>
              <w:t>（满分15分）</w:t>
            </w:r>
          </w:p>
        </w:tc>
        <w:tc>
          <w:tcPr>
            <w:tcW w:w="7867" w:type="dxa"/>
            <w:vAlign w:val="center"/>
          </w:tcPr>
          <w:p w14:paraId="4D95F7A2">
            <w:pPr>
              <w:jc w:val="left"/>
              <w:rPr>
                <w:rFonts w:hint="eastAsia" w:ascii="宋体" w:hAnsi="宋体" w:cs="宋体"/>
                <w:sz w:val="24"/>
                <w:szCs w:val="20"/>
              </w:rPr>
            </w:pPr>
            <w:r>
              <w:rPr>
                <w:rFonts w:hint="eastAsia" w:ascii="宋体" w:hAnsi="宋体" w:cs="宋体"/>
                <w:sz w:val="24"/>
                <w:szCs w:val="20"/>
              </w:rPr>
              <w:t>造价咨询服务方案内容是否全面，详实，有针对性，有详细、合理可行的服务方案，对政府投资项目协审工作有深刻理解，并提出合理化建议，能最大程度满足阜阳市政府性投资项目造价咨询服务需要。</w:t>
            </w:r>
          </w:p>
          <w:p w14:paraId="0EC1B2CE">
            <w:pPr>
              <w:jc w:val="left"/>
              <w:rPr>
                <w:rFonts w:hint="eastAsia" w:ascii="宋体" w:hAnsi="宋体" w:eastAsia="宋体" w:cs="宋体"/>
                <w:sz w:val="24"/>
                <w:szCs w:val="20"/>
              </w:rPr>
            </w:pPr>
            <w:r>
              <w:rPr>
                <w:rFonts w:hint="eastAsia" w:ascii="宋体" w:hAnsi="宋体" w:eastAsia="宋体" w:cs="宋体"/>
                <w:sz w:val="24"/>
                <w:szCs w:val="20"/>
              </w:rPr>
              <w:t>（1）方案内容理解准确，分析的全面性、准确性和针对性强，得3分；</w:t>
            </w:r>
          </w:p>
          <w:p w14:paraId="2EEF682A">
            <w:pPr>
              <w:jc w:val="left"/>
              <w:rPr>
                <w:rFonts w:hint="eastAsia" w:ascii="宋体" w:hAnsi="宋体" w:eastAsia="宋体" w:cs="宋体"/>
                <w:sz w:val="24"/>
                <w:szCs w:val="20"/>
              </w:rPr>
            </w:pPr>
            <w:r>
              <w:rPr>
                <w:rFonts w:hint="eastAsia" w:ascii="宋体" w:hAnsi="宋体" w:eastAsia="宋体" w:cs="宋体"/>
                <w:sz w:val="24"/>
                <w:szCs w:val="20"/>
              </w:rPr>
              <w:t>（2）方案内容基本准确，分析的全面性、准确性和有一定的针对性，得2分；</w:t>
            </w:r>
          </w:p>
          <w:p w14:paraId="1BD3E786">
            <w:pPr>
              <w:jc w:val="left"/>
              <w:rPr>
                <w:rFonts w:hint="eastAsia" w:ascii="宋体" w:hAnsi="宋体" w:eastAsia="宋体" w:cs="宋体"/>
                <w:sz w:val="24"/>
                <w:szCs w:val="20"/>
              </w:rPr>
            </w:pPr>
            <w:r>
              <w:rPr>
                <w:rFonts w:hint="eastAsia" w:ascii="宋体" w:hAnsi="宋体" w:eastAsia="宋体" w:cs="宋体"/>
                <w:sz w:val="24"/>
                <w:szCs w:val="20"/>
              </w:rPr>
              <w:t>（3）提供的方案内容理解有待提升，分析的全面性、准确性和针对性有待改善，得1分；</w:t>
            </w:r>
          </w:p>
          <w:p w14:paraId="2030CC28">
            <w:pPr>
              <w:jc w:val="left"/>
            </w:pPr>
            <w:r>
              <w:rPr>
                <w:rFonts w:hint="eastAsia" w:ascii="宋体" w:hAnsi="宋体" w:eastAsia="宋体" w:cs="宋体"/>
                <w:sz w:val="24"/>
                <w:szCs w:val="20"/>
              </w:rPr>
              <w:t>（4）方案差或者未提供的不得分。</w:t>
            </w:r>
          </w:p>
        </w:tc>
        <w:tc>
          <w:tcPr>
            <w:tcW w:w="1000" w:type="dxa"/>
            <w:vAlign w:val="center"/>
          </w:tcPr>
          <w:p w14:paraId="7A44D170">
            <w:pPr>
              <w:adjustRightInd w:val="0"/>
              <w:snapToGrid w:val="0"/>
              <w:spacing w:line="360" w:lineRule="auto"/>
              <w:ind w:right="-11"/>
              <w:jc w:val="center"/>
              <w:rPr>
                <w:rFonts w:ascii="宋体" w:hAnsi="宋体" w:cs="宋体"/>
                <w:bCs/>
                <w:sz w:val="24"/>
                <w:szCs w:val="24"/>
              </w:rPr>
            </w:pPr>
            <w:r>
              <w:rPr>
                <w:rFonts w:hint="eastAsia" w:ascii="宋体" w:hAnsi="宋体" w:cs="宋体"/>
                <w:sz w:val="24"/>
                <w:szCs w:val="20"/>
              </w:rPr>
              <w:t>0-3分</w:t>
            </w:r>
          </w:p>
        </w:tc>
      </w:tr>
      <w:tr w14:paraId="361D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1217" w:type="dxa"/>
            <w:vMerge w:val="continue"/>
            <w:vAlign w:val="center"/>
          </w:tcPr>
          <w:p w14:paraId="2CB668D7">
            <w:pPr>
              <w:widowControl/>
              <w:adjustRightInd w:val="0"/>
              <w:snapToGrid w:val="0"/>
              <w:jc w:val="center"/>
              <w:rPr>
                <w:rFonts w:ascii="宋体" w:hAnsi="宋体" w:cs="宋体"/>
                <w:kern w:val="0"/>
                <w:sz w:val="24"/>
                <w:szCs w:val="24"/>
              </w:rPr>
            </w:pPr>
          </w:p>
        </w:tc>
        <w:tc>
          <w:tcPr>
            <w:tcW w:w="7867" w:type="dxa"/>
            <w:vAlign w:val="center"/>
          </w:tcPr>
          <w:p w14:paraId="307001D2">
            <w:pPr>
              <w:adjustRightInd w:val="0"/>
              <w:snapToGrid w:val="0"/>
              <w:ind w:right="-11"/>
              <w:jc w:val="left"/>
              <w:rPr>
                <w:rFonts w:hint="eastAsia" w:ascii="宋体" w:hAnsi="宋体" w:cs="宋体"/>
                <w:sz w:val="24"/>
                <w:szCs w:val="20"/>
              </w:rPr>
            </w:pPr>
            <w:r>
              <w:rPr>
                <w:rFonts w:hint="eastAsia" w:ascii="宋体" w:hAnsi="宋体" w:cs="宋体"/>
                <w:sz w:val="24"/>
                <w:szCs w:val="20"/>
              </w:rPr>
              <w:t>工程造价咨询成果文件质量控制制度和措施完善，科学合理，有创新性措施可以确保政府性投资项目造价咨询工作的准确性和及时性，人员组织安排合理。供应商的服务承诺，承诺审计咨询业务成果误差率控制在3%以内且承诺在合同约定期限内出审计业务成果文件的，并且有详细的管理措施及风险管控技术。</w:t>
            </w:r>
          </w:p>
          <w:p w14:paraId="08C8CD6B">
            <w:pPr>
              <w:jc w:val="left"/>
              <w:rPr>
                <w:rFonts w:hint="eastAsia" w:ascii="宋体" w:hAnsi="宋体" w:eastAsia="宋体" w:cs="宋体"/>
                <w:sz w:val="24"/>
                <w:szCs w:val="20"/>
              </w:rPr>
            </w:pPr>
            <w:r>
              <w:rPr>
                <w:rFonts w:hint="eastAsia" w:ascii="宋体" w:hAnsi="宋体" w:eastAsia="宋体" w:cs="宋体"/>
                <w:sz w:val="24"/>
                <w:szCs w:val="20"/>
              </w:rPr>
              <w:t>（1）方案内容理解准确，分析的全面性、准确性和针对性强，得3分；</w:t>
            </w:r>
          </w:p>
          <w:p w14:paraId="006192A6">
            <w:pPr>
              <w:jc w:val="left"/>
              <w:rPr>
                <w:rFonts w:hint="eastAsia" w:ascii="宋体" w:hAnsi="宋体" w:eastAsia="宋体" w:cs="宋体"/>
                <w:sz w:val="24"/>
                <w:szCs w:val="20"/>
              </w:rPr>
            </w:pPr>
            <w:r>
              <w:rPr>
                <w:rFonts w:hint="eastAsia" w:ascii="宋体" w:hAnsi="宋体" w:eastAsia="宋体" w:cs="宋体"/>
                <w:sz w:val="24"/>
                <w:szCs w:val="20"/>
              </w:rPr>
              <w:t>（2）方案内容基本准确，分析的全面性、准确性和有一定的针对性，得2分；</w:t>
            </w:r>
          </w:p>
          <w:p w14:paraId="1AD24642">
            <w:pPr>
              <w:jc w:val="left"/>
              <w:rPr>
                <w:rFonts w:hint="eastAsia" w:ascii="宋体" w:hAnsi="宋体" w:eastAsia="宋体" w:cs="宋体"/>
                <w:sz w:val="24"/>
                <w:szCs w:val="20"/>
              </w:rPr>
            </w:pPr>
            <w:r>
              <w:rPr>
                <w:rFonts w:hint="eastAsia" w:ascii="宋体" w:hAnsi="宋体" w:eastAsia="宋体" w:cs="宋体"/>
                <w:sz w:val="24"/>
                <w:szCs w:val="20"/>
              </w:rPr>
              <w:t>（3）提供的方案内容理解有待提升，分析的全面性、准确性和针对性有待改善，得1分；</w:t>
            </w:r>
          </w:p>
          <w:p w14:paraId="134FE2BA">
            <w:pPr>
              <w:pStyle w:val="2"/>
              <w:ind w:left="0" w:leftChars="0"/>
              <w:rPr>
                <w:lang w:val="zh-CN"/>
              </w:rPr>
            </w:pPr>
            <w:r>
              <w:rPr>
                <w:rFonts w:hint="eastAsia" w:ascii="宋体" w:hAnsi="宋体" w:eastAsia="宋体" w:cs="宋体"/>
                <w:sz w:val="24"/>
                <w:szCs w:val="20"/>
              </w:rPr>
              <w:t>（4）方案差或者未提供的不得分。</w:t>
            </w:r>
          </w:p>
        </w:tc>
        <w:tc>
          <w:tcPr>
            <w:tcW w:w="1000" w:type="dxa"/>
            <w:vAlign w:val="center"/>
          </w:tcPr>
          <w:p w14:paraId="72D5F821">
            <w:pPr>
              <w:adjustRightInd w:val="0"/>
              <w:snapToGrid w:val="0"/>
              <w:spacing w:line="360" w:lineRule="auto"/>
              <w:ind w:right="-11"/>
              <w:jc w:val="center"/>
              <w:rPr>
                <w:rFonts w:ascii="宋体" w:hAnsi="宋体" w:cs="宋体"/>
                <w:bCs/>
                <w:spacing w:val="-20"/>
                <w:sz w:val="24"/>
                <w:szCs w:val="24"/>
              </w:rPr>
            </w:pPr>
            <w:r>
              <w:rPr>
                <w:rFonts w:hint="eastAsia" w:ascii="宋体" w:hAnsi="宋体" w:cs="宋体"/>
                <w:sz w:val="24"/>
                <w:szCs w:val="20"/>
              </w:rPr>
              <w:t>0-3分</w:t>
            </w:r>
          </w:p>
        </w:tc>
      </w:tr>
      <w:tr w14:paraId="6507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17" w:type="dxa"/>
            <w:vMerge w:val="continue"/>
            <w:vAlign w:val="center"/>
          </w:tcPr>
          <w:p w14:paraId="6D9E9DB7">
            <w:pPr>
              <w:widowControl/>
              <w:adjustRightInd w:val="0"/>
              <w:snapToGrid w:val="0"/>
              <w:jc w:val="center"/>
              <w:rPr>
                <w:rFonts w:ascii="宋体" w:hAnsi="宋体" w:cs="宋体"/>
                <w:kern w:val="0"/>
                <w:sz w:val="24"/>
                <w:szCs w:val="24"/>
              </w:rPr>
            </w:pPr>
          </w:p>
        </w:tc>
        <w:tc>
          <w:tcPr>
            <w:tcW w:w="7867" w:type="dxa"/>
            <w:vAlign w:val="center"/>
          </w:tcPr>
          <w:p w14:paraId="23A0570C">
            <w:pPr>
              <w:adjustRightInd w:val="0"/>
              <w:snapToGrid w:val="0"/>
              <w:ind w:right="-11"/>
              <w:jc w:val="left"/>
              <w:rPr>
                <w:rFonts w:hint="eastAsia" w:ascii="宋体" w:hAnsi="宋体" w:cs="宋体"/>
                <w:sz w:val="24"/>
                <w:szCs w:val="20"/>
              </w:rPr>
            </w:pPr>
            <w:r>
              <w:rPr>
                <w:rFonts w:hint="eastAsia" w:ascii="宋体" w:hAnsi="宋体" w:cs="宋体"/>
                <w:sz w:val="24"/>
                <w:szCs w:val="20"/>
              </w:rPr>
              <w:t>服务方案中对政府性投资项目造价咨询工作的重点和难点及上级领导关注点界定清楚，有科学合理恰当的应对措施和保障措施，措施内容有可行性和可借鉴性，有保密和廉政措施。</w:t>
            </w:r>
          </w:p>
          <w:p w14:paraId="6D392D21">
            <w:pPr>
              <w:jc w:val="left"/>
              <w:rPr>
                <w:rFonts w:hint="eastAsia" w:ascii="宋体" w:hAnsi="宋体" w:eastAsia="宋体" w:cs="宋体"/>
                <w:sz w:val="24"/>
                <w:szCs w:val="20"/>
              </w:rPr>
            </w:pPr>
            <w:r>
              <w:rPr>
                <w:rFonts w:hint="eastAsia" w:ascii="宋体" w:hAnsi="宋体" w:eastAsia="宋体" w:cs="宋体"/>
                <w:sz w:val="24"/>
                <w:szCs w:val="20"/>
              </w:rPr>
              <w:t>（1）方案内容理解准确，分析的全面性、准确性和针对性强，得3分；</w:t>
            </w:r>
          </w:p>
          <w:p w14:paraId="320C6933">
            <w:pPr>
              <w:jc w:val="left"/>
              <w:rPr>
                <w:rFonts w:hint="eastAsia" w:ascii="宋体" w:hAnsi="宋体" w:eastAsia="宋体" w:cs="宋体"/>
                <w:sz w:val="24"/>
                <w:szCs w:val="20"/>
              </w:rPr>
            </w:pPr>
            <w:r>
              <w:rPr>
                <w:rFonts w:hint="eastAsia" w:ascii="宋体" w:hAnsi="宋体" w:eastAsia="宋体" w:cs="宋体"/>
                <w:sz w:val="24"/>
                <w:szCs w:val="20"/>
              </w:rPr>
              <w:t>（2）方案内容基本准确，分析的全面性、准确性和有一定的针对性，得2分；</w:t>
            </w:r>
          </w:p>
          <w:p w14:paraId="1BDED52B">
            <w:pPr>
              <w:jc w:val="left"/>
              <w:rPr>
                <w:rFonts w:hint="eastAsia" w:ascii="宋体" w:hAnsi="宋体" w:eastAsia="宋体" w:cs="宋体"/>
                <w:sz w:val="24"/>
                <w:szCs w:val="20"/>
              </w:rPr>
            </w:pPr>
            <w:r>
              <w:rPr>
                <w:rFonts w:hint="eastAsia" w:ascii="宋体" w:hAnsi="宋体" w:eastAsia="宋体" w:cs="宋体"/>
                <w:sz w:val="24"/>
                <w:szCs w:val="20"/>
              </w:rPr>
              <w:t>（3）提供的方案内容理解有待提升，分析的全面性、准确性和针对性有待改善，得1分；</w:t>
            </w:r>
          </w:p>
          <w:p w14:paraId="31A5371A">
            <w:pPr>
              <w:pStyle w:val="2"/>
              <w:ind w:left="0" w:leftChars="0"/>
              <w:rPr>
                <w:lang w:val="zh-CN"/>
              </w:rPr>
            </w:pPr>
            <w:r>
              <w:rPr>
                <w:rFonts w:hint="eastAsia" w:ascii="宋体" w:hAnsi="宋体" w:eastAsia="宋体" w:cs="宋体"/>
                <w:sz w:val="24"/>
                <w:szCs w:val="20"/>
              </w:rPr>
              <w:t>（4）方案差或者未提供的不得分。</w:t>
            </w:r>
          </w:p>
        </w:tc>
        <w:tc>
          <w:tcPr>
            <w:tcW w:w="1000" w:type="dxa"/>
            <w:vAlign w:val="center"/>
          </w:tcPr>
          <w:p w14:paraId="4CD37BF7">
            <w:pPr>
              <w:adjustRightInd w:val="0"/>
              <w:snapToGrid w:val="0"/>
              <w:spacing w:line="360" w:lineRule="auto"/>
              <w:ind w:right="-11"/>
              <w:jc w:val="center"/>
              <w:rPr>
                <w:rFonts w:ascii="宋体" w:hAnsi="宋体" w:cs="宋体"/>
                <w:bCs/>
                <w:spacing w:val="-20"/>
                <w:sz w:val="24"/>
                <w:szCs w:val="24"/>
              </w:rPr>
            </w:pPr>
            <w:r>
              <w:rPr>
                <w:rFonts w:hint="eastAsia" w:ascii="宋体" w:hAnsi="宋体" w:cs="宋体"/>
                <w:sz w:val="24"/>
                <w:szCs w:val="20"/>
              </w:rPr>
              <w:t>0-3分</w:t>
            </w:r>
          </w:p>
        </w:tc>
      </w:tr>
      <w:tr w14:paraId="7EEB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17" w:type="dxa"/>
            <w:vMerge w:val="continue"/>
            <w:vAlign w:val="center"/>
          </w:tcPr>
          <w:p w14:paraId="53BCF7FA">
            <w:pPr>
              <w:widowControl/>
              <w:adjustRightInd w:val="0"/>
              <w:snapToGrid w:val="0"/>
              <w:jc w:val="center"/>
              <w:rPr>
                <w:rFonts w:ascii="宋体" w:hAnsi="宋体" w:cs="宋体"/>
                <w:kern w:val="0"/>
                <w:sz w:val="24"/>
                <w:szCs w:val="24"/>
              </w:rPr>
            </w:pPr>
          </w:p>
        </w:tc>
        <w:tc>
          <w:tcPr>
            <w:tcW w:w="7867" w:type="dxa"/>
            <w:vAlign w:val="center"/>
          </w:tcPr>
          <w:p w14:paraId="05177AFA">
            <w:pPr>
              <w:adjustRightInd w:val="0"/>
              <w:snapToGrid w:val="0"/>
              <w:ind w:right="-11"/>
              <w:jc w:val="left"/>
              <w:rPr>
                <w:rFonts w:hint="eastAsia" w:ascii="宋体" w:hAnsi="宋体" w:cs="宋体"/>
                <w:sz w:val="24"/>
                <w:szCs w:val="20"/>
              </w:rPr>
            </w:pPr>
            <w:r>
              <w:rPr>
                <w:rFonts w:hint="eastAsia" w:ascii="宋体" w:hAnsi="宋体" w:cs="宋体"/>
                <w:sz w:val="24"/>
                <w:szCs w:val="20"/>
              </w:rPr>
              <w:t>拟派驻专职服务于本项目的协审审计团队配置齐全，专业合理，责任分配清晰，综合考虑服务软硬件、造价师及造价员数量、职称、专业领域均衡度及执业经历（专职服务于本项目的团队）。</w:t>
            </w:r>
          </w:p>
          <w:p w14:paraId="76E3251A">
            <w:pPr>
              <w:jc w:val="left"/>
              <w:rPr>
                <w:rFonts w:hint="eastAsia" w:ascii="宋体" w:hAnsi="宋体" w:eastAsia="宋体" w:cs="宋体"/>
                <w:sz w:val="24"/>
                <w:szCs w:val="20"/>
              </w:rPr>
            </w:pPr>
            <w:r>
              <w:rPr>
                <w:rFonts w:hint="eastAsia" w:ascii="宋体" w:hAnsi="宋体" w:eastAsia="宋体" w:cs="宋体"/>
                <w:sz w:val="24"/>
                <w:szCs w:val="20"/>
              </w:rPr>
              <w:t>（1）方案内容理解准确，分析的全面性、准确性和针对性强，得3分；</w:t>
            </w:r>
          </w:p>
          <w:p w14:paraId="06DBA137">
            <w:pPr>
              <w:jc w:val="left"/>
              <w:rPr>
                <w:rFonts w:hint="eastAsia" w:ascii="宋体" w:hAnsi="宋体" w:eastAsia="宋体" w:cs="宋体"/>
                <w:sz w:val="24"/>
                <w:szCs w:val="20"/>
              </w:rPr>
            </w:pPr>
            <w:r>
              <w:rPr>
                <w:rFonts w:hint="eastAsia" w:ascii="宋体" w:hAnsi="宋体" w:eastAsia="宋体" w:cs="宋体"/>
                <w:sz w:val="24"/>
                <w:szCs w:val="20"/>
              </w:rPr>
              <w:t>（2）方案内容基本准确，分析的全面性、准确性和有一定的针对性，得2分；</w:t>
            </w:r>
          </w:p>
          <w:p w14:paraId="5C0E6D26">
            <w:pPr>
              <w:jc w:val="left"/>
              <w:rPr>
                <w:rFonts w:hint="eastAsia" w:ascii="宋体" w:hAnsi="宋体" w:eastAsia="宋体" w:cs="宋体"/>
                <w:sz w:val="24"/>
                <w:szCs w:val="20"/>
              </w:rPr>
            </w:pPr>
            <w:r>
              <w:rPr>
                <w:rFonts w:hint="eastAsia" w:ascii="宋体" w:hAnsi="宋体" w:eastAsia="宋体" w:cs="宋体"/>
                <w:sz w:val="24"/>
                <w:szCs w:val="20"/>
              </w:rPr>
              <w:t>（3）提供的方案内容理解有待提升，分析的全面性、准确性和针对性有待改善，得1分；</w:t>
            </w:r>
          </w:p>
          <w:p w14:paraId="5FEEF4C3">
            <w:pPr>
              <w:pStyle w:val="2"/>
              <w:ind w:left="0" w:leftChars="0"/>
              <w:rPr>
                <w:lang w:val="zh-CN"/>
              </w:rPr>
            </w:pPr>
            <w:r>
              <w:rPr>
                <w:rFonts w:hint="eastAsia" w:ascii="宋体" w:hAnsi="宋体" w:eastAsia="宋体" w:cs="宋体"/>
                <w:sz w:val="24"/>
                <w:szCs w:val="20"/>
              </w:rPr>
              <w:t>（4）方案差或者未提供的不得分。</w:t>
            </w:r>
          </w:p>
        </w:tc>
        <w:tc>
          <w:tcPr>
            <w:tcW w:w="1000" w:type="dxa"/>
            <w:vAlign w:val="center"/>
          </w:tcPr>
          <w:p w14:paraId="30E2FC5F">
            <w:pPr>
              <w:adjustRightInd w:val="0"/>
              <w:snapToGrid w:val="0"/>
              <w:spacing w:line="360" w:lineRule="auto"/>
              <w:ind w:right="-11"/>
              <w:jc w:val="center"/>
              <w:rPr>
                <w:rFonts w:ascii="宋体" w:hAnsi="宋体" w:cs="宋体"/>
                <w:bCs/>
                <w:spacing w:val="-20"/>
                <w:sz w:val="24"/>
                <w:szCs w:val="24"/>
              </w:rPr>
            </w:pPr>
            <w:r>
              <w:rPr>
                <w:rFonts w:hint="eastAsia" w:ascii="宋体" w:hAnsi="宋体" w:cs="宋体"/>
                <w:sz w:val="24"/>
                <w:szCs w:val="20"/>
              </w:rPr>
              <w:t>0-3分</w:t>
            </w:r>
          </w:p>
        </w:tc>
      </w:tr>
      <w:tr w14:paraId="14FA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217" w:type="dxa"/>
            <w:vMerge w:val="continue"/>
            <w:vAlign w:val="center"/>
          </w:tcPr>
          <w:p w14:paraId="2A8BB7A7">
            <w:pPr>
              <w:widowControl/>
              <w:adjustRightInd w:val="0"/>
              <w:snapToGrid w:val="0"/>
              <w:jc w:val="center"/>
              <w:rPr>
                <w:rFonts w:ascii="宋体" w:hAnsi="宋体" w:cs="宋体"/>
                <w:kern w:val="0"/>
                <w:sz w:val="24"/>
                <w:szCs w:val="24"/>
              </w:rPr>
            </w:pPr>
          </w:p>
        </w:tc>
        <w:tc>
          <w:tcPr>
            <w:tcW w:w="7867" w:type="dxa"/>
            <w:vAlign w:val="center"/>
          </w:tcPr>
          <w:p w14:paraId="5A1D6675">
            <w:pPr>
              <w:adjustRightInd w:val="0"/>
              <w:snapToGrid w:val="0"/>
              <w:ind w:right="-11"/>
              <w:jc w:val="left"/>
              <w:rPr>
                <w:rFonts w:hint="eastAsia" w:ascii="宋体" w:hAnsi="宋体" w:cs="宋体"/>
                <w:sz w:val="24"/>
                <w:szCs w:val="20"/>
              </w:rPr>
            </w:pPr>
            <w:r>
              <w:rPr>
                <w:rFonts w:hint="eastAsia" w:ascii="宋体" w:hAnsi="宋体" w:cs="宋体"/>
                <w:sz w:val="24"/>
                <w:szCs w:val="20"/>
              </w:rPr>
              <w:t>对供应商质量控制制度、档案管理制度，薪酬管理制度等方面进行评审，评委根据供应商提供的工作制度的内容完善，切实可行等进行综合评分。</w:t>
            </w:r>
          </w:p>
          <w:p w14:paraId="213AEFA5">
            <w:pPr>
              <w:jc w:val="left"/>
              <w:rPr>
                <w:rFonts w:hint="eastAsia" w:ascii="宋体" w:hAnsi="宋体" w:eastAsia="宋体" w:cs="宋体"/>
                <w:sz w:val="24"/>
                <w:szCs w:val="20"/>
              </w:rPr>
            </w:pPr>
            <w:r>
              <w:rPr>
                <w:rFonts w:hint="eastAsia" w:ascii="宋体" w:hAnsi="宋体" w:eastAsia="宋体" w:cs="宋体"/>
                <w:sz w:val="24"/>
                <w:szCs w:val="20"/>
              </w:rPr>
              <w:t>（1）方案内容理解准确，分析的全面性、准确性和针对性强，得3分；</w:t>
            </w:r>
          </w:p>
          <w:p w14:paraId="33846612">
            <w:pPr>
              <w:jc w:val="left"/>
              <w:rPr>
                <w:rFonts w:hint="eastAsia" w:ascii="宋体" w:hAnsi="宋体" w:eastAsia="宋体" w:cs="宋体"/>
                <w:sz w:val="24"/>
                <w:szCs w:val="20"/>
              </w:rPr>
            </w:pPr>
            <w:r>
              <w:rPr>
                <w:rFonts w:hint="eastAsia" w:ascii="宋体" w:hAnsi="宋体" w:eastAsia="宋体" w:cs="宋体"/>
                <w:sz w:val="24"/>
                <w:szCs w:val="20"/>
              </w:rPr>
              <w:t>（2）方案内容基本准确，分析的全面性、准确性和有一定的针对性，得2分；</w:t>
            </w:r>
          </w:p>
          <w:p w14:paraId="761E5A3D">
            <w:pPr>
              <w:jc w:val="left"/>
              <w:rPr>
                <w:rFonts w:hint="eastAsia" w:ascii="宋体" w:hAnsi="宋体" w:eastAsia="宋体" w:cs="宋体"/>
                <w:sz w:val="24"/>
                <w:szCs w:val="20"/>
              </w:rPr>
            </w:pPr>
            <w:r>
              <w:rPr>
                <w:rFonts w:hint="eastAsia" w:ascii="宋体" w:hAnsi="宋体" w:eastAsia="宋体" w:cs="宋体"/>
                <w:sz w:val="24"/>
                <w:szCs w:val="20"/>
              </w:rPr>
              <w:t>（3）提供的方案内容理解有待提升，分析的全面性、准确性和针对性有待改善，得1分；</w:t>
            </w:r>
          </w:p>
          <w:p w14:paraId="1013D866">
            <w:pPr>
              <w:pStyle w:val="2"/>
              <w:ind w:left="0" w:leftChars="0"/>
              <w:rPr>
                <w:lang w:val="zh-CN"/>
              </w:rPr>
            </w:pPr>
            <w:r>
              <w:rPr>
                <w:rFonts w:hint="eastAsia" w:ascii="宋体" w:hAnsi="宋体" w:eastAsia="宋体" w:cs="宋体"/>
                <w:sz w:val="24"/>
                <w:szCs w:val="20"/>
              </w:rPr>
              <w:t>（4）方案差或者未提供的不得分。</w:t>
            </w:r>
          </w:p>
        </w:tc>
        <w:tc>
          <w:tcPr>
            <w:tcW w:w="1000" w:type="dxa"/>
            <w:vAlign w:val="center"/>
          </w:tcPr>
          <w:p w14:paraId="4DAED35B">
            <w:pPr>
              <w:adjustRightInd w:val="0"/>
              <w:snapToGrid w:val="0"/>
              <w:spacing w:line="360" w:lineRule="auto"/>
              <w:ind w:right="-11"/>
              <w:jc w:val="center"/>
              <w:rPr>
                <w:rFonts w:ascii="宋体" w:hAnsi="宋体" w:cs="宋体"/>
                <w:bCs/>
                <w:spacing w:val="-20"/>
                <w:sz w:val="24"/>
                <w:szCs w:val="24"/>
              </w:rPr>
            </w:pPr>
            <w:r>
              <w:rPr>
                <w:rFonts w:hint="eastAsia" w:ascii="宋体" w:hAnsi="宋体" w:cs="宋体"/>
                <w:sz w:val="24"/>
                <w:szCs w:val="20"/>
              </w:rPr>
              <w:t>0-3分</w:t>
            </w:r>
          </w:p>
        </w:tc>
      </w:tr>
      <w:tr w14:paraId="0F30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1217" w:type="dxa"/>
            <w:vAlign w:val="center"/>
          </w:tcPr>
          <w:p w14:paraId="72F152B3">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投标报价</w:t>
            </w:r>
            <w:r>
              <w:rPr>
                <w:rFonts w:hint="eastAsia" w:ascii="宋体" w:hAnsi="宋体" w:cs="宋体"/>
                <w:spacing w:val="4"/>
                <w:kern w:val="0"/>
                <w:sz w:val="24"/>
                <w:szCs w:val="24"/>
              </w:rPr>
              <w:t>（满分15分）</w:t>
            </w:r>
          </w:p>
        </w:tc>
        <w:tc>
          <w:tcPr>
            <w:tcW w:w="7867" w:type="dxa"/>
            <w:vAlign w:val="center"/>
          </w:tcPr>
          <w:p w14:paraId="1EF3545B">
            <w:pPr>
              <w:keepNext w:val="0"/>
              <w:keepLines w:val="0"/>
              <w:pageBreakBefore w:val="0"/>
              <w:kinsoku/>
              <w:wordWrap/>
              <w:overflowPunct/>
              <w:topLinePunct w:val="0"/>
              <w:autoSpaceDE w:val="0"/>
              <w:autoSpaceDN w:val="0"/>
              <w:bidi w:val="0"/>
              <w:adjustRightInd/>
              <w:snapToGrid/>
              <w:spacing w:line="360" w:lineRule="auto"/>
              <w:ind w:left="107" w:right="100"/>
              <w:textAlignment w:val="auto"/>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价格分统一采用低价优先法，即满足招标文件要求且价格最低的最后报价为评标基准价，其价格分为满分</w:t>
            </w:r>
            <w:r>
              <w:rPr>
                <w:rFonts w:hint="eastAsia" w:ascii="宋体" w:hAnsi="宋体" w:eastAsia="宋体" w:cs="宋体"/>
                <w:color w:val="auto"/>
                <w:kern w:val="0"/>
                <w:sz w:val="24"/>
                <w:szCs w:val="24"/>
                <w:u w:val="single"/>
                <w:lang w:val="en-US" w:bidi="zh-CN"/>
              </w:rPr>
              <w:t>15</w:t>
            </w:r>
            <w:r>
              <w:rPr>
                <w:rFonts w:hint="eastAsia" w:ascii="宋体" w:hAnsi="宋体" w:eastAsia="宋体" w:cs="宋体"/>
                <w:color w:val="auto"/>
                <w:kern w:val="0"/>
                <w:sz w:val="24"/>
                <w:szCs w:val="24"/>
                <w:lang w:val="zh-CN" w:bidi="zh-CN"/>
              </w:rPr>
              <w:t>分。其他投标人的价格分统一按照下列公式计算：</w:t>
            </w:r>
          </w:p>
          <w:p w14:paraId="31AF8330">
            <w:pPr>
              <w:spacing w:line="360" w:lineRule="auto"/>
              <w:rPr>
                <w:rFonts w:ascii="宋体" w:hAnsi="宋体" w:cs="宋体"/>
                <w:kern w:val="0"/>
                <w:sz w:val="24"/>
                <w:szCs w:val="24"/>
              </w:rPr>
            </w:pPr>
            <w:r>
              <w:rPr>
                <w:rFonts w:hint="eastAsia" w:ascii="宋体" w:hAnsi="宋体" w:eastAsia="宋体" w:cs="宋体"/>
                <w:color w:val="auto"/>
                <w:kern w:val="0"/>
                <w:sz w:val="24"/>
                <w:szCs w:val="24"/>
                <w:lang w:val="zh-CN" w:bidi="zh-CN"/>
              </w:rPr>
              <w:t>最后报价得分＝（评标基准价/最后报价）×</w:t>
            </w:r>
            <w:r>
              <w:rPr>
                <w:rFonts w:hint="eastAsia" w:ascii="宋体" w:hAnsi="宋体" w:eastAsia="宋体" w:cs="宋体"/>
                <w:color w:val="auto"/>
                <w:kern w:val="0"/>
                <w:sz w:val="24"/>
                <w:szCs w:val="24"/>
                <w:u w:val="single"/>
                <w:lang w:val="en-US" w:bidi="zh-CN"/>
              </w:rPr>
              <w:t>15</w:t>
            </w:r>
            <w:r>
              <w:rPr>
                <w:rFonts w:hint="eastAsia" w:ascii="宋体" w:hAnsi="宋体" w:eastAsia="宋体" w:cs="宋体"/>
                <w:color w:val="auto"/>
                <w:kern w:val="0"/>
                <w:sz w:val="24"/>
                <w:szCs w:val="24"/>
                <w:lang w:val="zh-CN" w:bidi="zh-CN"/>
              </w:rPr>
              <w:t>％×100</w:t>
            </w:r>
          </w:p>
        </w:tc>
        <w:tc>
          <w:tcPr>
            <w:tcW w:w="1000" w:type="dxa"/>
            <w:vAlign w:val="center"/>
          </w:tcPr>
          <w:p w14:paraId="11B28A58">
            <w:pPr>
              <w:spacing w:line="360" w:lineRule="exact"/>
              <w:jc w:val="center"/>
              <w:rPr>
                <w:rFonts w:ascii="宋体" w:hAnsi="宋体" w:cs="宋体"/>
                <w:sz w:val="24"/>
                <w:szCs w:val="24"/>
              </w:rPr>
            </w:pPr>
            <w:r>
              <w:rPr>
                <w:rFonts w:hint="eastAsia" w:ascii="宋体" w:hAnsi="宋体" w:cs="宋体"/>
                <w:bCs/>
                <w:spacing w:val="-20"/>
                <w:sz w:val="24"/>
                <w:szCs w:val="24"/>
              </w:rPr>
              <w:t>0-</w:t>
            </w:r>
            <w:r>
              <w:rPr>
                <w:rFonts w:hint="eastAsia" w:ascii="宋体" w:hAnsi="宋体" w:cs="宋体"/>
                <w:bCs/>
                <w:sz w:val="24"/>
                <w:szCs w:val="24"/>
              </w:rPr>
              <w:t>15分</w:t>
            </w:r>
          </w:p>
        </w:tc>
      </w:tr>
      <w:tr w14:paraId="5287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0084" w:type="dxa"/>
            <w:gridSpan w:val="3"/>
            <w:vAlign w:val="center"/>
          </w:tcPr>
          <w:p w14:paraId="3145B8CA">
            <w:pPr>
              <w:spacing w:line="360" w:lineRule="auto"/>
              <w:rPr>
                <w:rFonts w:ascii="宋体"/>
                <w:sz w:val="24"/>
                <w:szCs w:val="20"/>
              </w:rPr>
            </w:pPr>
            <w:r>
              <w:rPr>
                <w:rFonts w:hint="eastAsia" w:ascii="宋体" w:hAnsi="宋体"/>
                <w:b/>
                <w:bCs/>
                <w:sz w:val="24"/>
                <w:szCs w:val="24"/>
              </w:rPr>
              <w:t>注：</w:t>
            </w:r>
            <w:r>
              <w:rPr>
                <w:rFonts w:hint="eastAsia" w:ascii="宋体"/>
                <w:sz w:val="24"/>
                <w:szCs w:val="20"/>
              </w:rPr>
              <w:t>1、以上证件、业绩、荣誉等以投标文件中的复印件为评审依据。复印件应清晰、关键内容可以辨认。否则，</w:t>
            </w:r>
            <w:r>
              <w:rPr>
                <w:rFonts w:hint="eastAsia" w:ascii="宋体" w:hAnsi="宋体" w:cs="宋体"/>
                <w:sz w:val="24"/>
                <w:szCs w:val="20"/>
              </w:rPr>
              <w:t>供应商</w:t>
            </w:r>
            <w:r>
              <w:rPr>
                <w:rFonts w:hint="eastAsia" w:ascii="宋体"/>
                <w:sz w:val="24"/>
                <w:szCs w:val="20"/>
              </w:rPr>
              <w:t>应承担因复印件关键内容不可辨认的风险。</w:t>
            </w:r>
          </w:p>
          <w:p w14:paraId="06373F4A">
            <w:pPr>
              <w:spacing w:line="360" w:lineRule="auto"/>
              <w:rPr>
                <w:rFonts w:ascii="宋体"/>
                <w:sz w:val="24"/>
                <w:szCs w:val="20"/>
              </w:rPr>
            </w:pPr>
            <w:r>
              <w:rPr>
                <w:rFonts w:hint="eastAsia" w:ascii="宋体"/>
                <w:sz w:val="24"/>
                <w:szCs w:val="20"/>
              </w:rPr>
              <w:t>2、如近年来，</w:t>
            </w:r>
            <w:r>
              <w:rPr>
                <w:rFonts w:hint="eastAsia" w:ascii="宋体" w:hAnsi="宋体" w:cs="宋体"/>
                <w:sz w:val="24"/>
                <w:szCs w:val="20"/>
              </w:rPr>
              <w:t>供应商</w:t>
            </w:r>
            <w:r>
              <w:rPr>
                <w:rFonts w:hint="eastAsia" w:ascii="宋体"/>
                <w:sz w:val="24"/>
                <w:szCs w:val="20"/>
              </w:rPr>
              <w:t>法人机构发生合法变更或重组或法人名称变更时，应提供相关部门的合法批件或其他相关证明材料，证明其业绩、获奖等的继承性。</w:t>
            </w:r>
          </w:p>
          <w:p w14:paraId="00638449">
            <w:pPr>
              <w:spacing w:line="360" w:lineRule="auto"/>
              <w:rPr>
                <w:rFonts w:ascii="宋体"/>
                <w:sz w:val="24"/>
                <w:szCs w:val="20"/>
              </w:rPr>
            </w:pPr>
            <w:r>
              <w:rPr>
                <w:rFonts w:hint="eastAsia" w:ascii="宋体"/>
                <w:sz w:val="24"/>
                <w:szCs w:val="20"/>
              </w:rPr>
              <w:t>3、拟派项目班子成员</w:t>
            </w:r>
            <w:r>
              <w:rPr>
                <w:rFonts w:hint="eastAsia" w:ascii="宋体" w:hAnsi="宋体"/>
                <w:sz w:val="24"/>
                <w:szCs w:val="24"/>
                <w:lang w:val="zh-CN"/>
              </w:rPr>
              <w:t>社保招标文件中</w:t>
            </w:r>
            <w:r>
              <w:rPr>
                <w:rFonts w:hint="eastAsia" w:ascii="宋体" w:hAnsi="宋体"/>
                <w:sz w:val="24"/>
                <w:szCs w:val="24"/>
                <w:lang w:val="en-US" w:eastAsia="zh-CN"/>
              </w:rPr>
              <w:t>需</w:t>
            </w:r>
            <w:r>
              <w:rPr>
                <w:rFonts w:hint="eastAsia" w:ascii="宋体" w:hAnsi="宋体"/>
                <w:sz w:val="24"/>
                <w:szCs w:val="24"/>
                <w:lang w:val="zh-CN"/>
              </w:rPr>
              <w:t>提供社保查询方式。推荐的候选人，采购人在评审过程中或候选人公示期间有权进行核实，</w:t>
            </w:r>
            <w:r>
              <w:rPr>
                <w:rFonts w:hint="eastAsia" w:ascii="宋体" w:hAnsi="宋体" w:cs="宋体"/>
                <w:sz w:val="24"/>
                <w:szCs w:val="20"/>
              </w:rPr>
              <w:t>供应商</w:t>
            </w:r>
            <w:r>
              <w:rPr>
                <w:rFonts w:hint="eastAsia" w:ascii="宋体" w:hAnsi="宋体"/>
                <w:sz w:val="24"/>
                <w:szCs w:val="24"/>
                <w:lang w:val="zh-CN"/>
              </w:rPr>
              <w:t>须无条件配合，如因</w:t>
            </w:r>
            <w:r>
              <w:rPr>
                <w:rFonts w:hint="eastAsia" w:ascii="宋体" w:hAnsi="宋体" w:cs="宋体"/>
                <w:sz w:val="24"/>
                <w:szCs w:val="20"/>
              </w:rPr>
              <w:t>供应商</w:t>
            </w:r>
            <w:r>
              <w:rPr>
                <w:rFonts w:hint="eastAsia" w:ascii="宋体" w:hAnsi="宋体"/>
                <w:sz w:val="24"/>
                <w:szCs w:val="24"/>
                <w:lang w:val="zh-CN"/>
              </w:rPr>
              <w:t>未提供或拒不配合，致使无法查询核实或经核实</w:t>
            </w:r>
            <w:r>
              <w:rPr>
                <w:rFonts w:hint="eastAsia" w:ascii="宋体"/>
                <w:sz w:val="24"/>
                <w:szCs w:val="20"/>
              </w:rPr>
              <w:t>发现存在弄虚作假行为的，</w:t>
            </w:r>
            <w:r>
              <w:rPr>
                <w:rFonts w:hint="eastAsia" w:ascii="宋体" w:hAnsi="宋体"/>
                <w:sz w:val="24"/>
                <w:szCs w:val="24"/>
                <w:lang w:val="zh-CN"/>
              </w:rPr>
              <w:t>采购人</w:t>
            </w:r>
            <w:r>
              <w:rPr>
                <w:rFonts w:hint="eastAsia" w:ascii="宋体"/>
                <w:sz w:val="24"/>
                <w:szCs w:val="20"/>
              </w:rPr>
              <w:t>有权取消其资格</w:t>
            </w:r>
            <w:r>
              <w:rPr>
                <w:rFonts w:hint="eastAsia" w:ascii="宋体"/>
                <w:sz w:val="24"/>
                <w:szCs w:val="22"/>
              </w:rPr>
              <w:t>。</w:t>
            </w:r>
          </w:p>
          <w:p w14:paraId="1F9C6A74">
            <w:pPr>
              <w:spacing w:line="360" w:lineRule="auto"/>
              <w:rPr>
                <w:rFonts w:ascii="宋体" w:hAnsi="宋体" w:cs="宋体"/>
                <w:sz w:val="24"/>
                <w:szCs w:val="24"/>
              </w:rPr>
            </w:pPr>
            <w:r>
              <w:rPr>
                <w:rFonts w:hint="eastAsia" w:ascii="宋体"/>
                <w:sz w:val="24"/>
                <w:szCs w:val="20"/>
              </w:rPr>
              <w:t>4、在中标候选人公示期间、入库合同签订前及入库后，</w:t>
            </w:r>
            <w:r>
              <w:rPr>
                <w:rFonts w:hint="eastAsia" w:ascii="宋体" w:hAnsi="宋体"/>
                <w:sz w:val="24"/>
                <w:szCs w:val="24"/>
                <w:lang w:val="zh-CN"/>
              </w:rPr>
              <w:t>采购人</w:t>
            </w:r>
            <w:r>
              <w:rPr>
                <w:rFonts w:hint="eastAsia" w:ascii="宋体"/>
                <w:sz w:val="24"/>
                <w:szCs w:val="20"/>
              </w:rPr>
              <w:t>有权对中标候选人投标文件资料的真实性进行核实，并对办公场所进行实地考察，如发现弄虚作假或达不到招标文件要求，</w:t>
            </w:r>
            <w:r>
              <w:rPr>
                <w:rFonts w:hint="eastAsia" w:ascii="宋体" w:hAnsi="宋体"/>
                <w:sz w:val="24"/>
                <w:szCs w:val="24"/>
                <w:lang w:val="zh-CN"/>
              </w:rPr>
              <w:t>采购人</w:t>
            </w:r>
            <w:r>
              <w:rPr>
                <w:rFonts w:hint="eastAsia" w:ascii="宋体"/>
                <w:sz w:val="24"/>
                <w:szCs w:val="20"/>
              </w:rPr>
              <w:t>有权取消其中标资格</w:t>
            </w:r>
            <w:r>
              <w:rPr>
                <w:rFonts w:hint="eastAsia" w:ascii="宋体"/>
                <w:sz w:val="24"/>
                <w:szCs w:val="22"/>
              </w:rPr>
              <w:t>。</w:t>
            </w:r>
          </w:p>
        </w:tc>
      </w:tr>
    </w:tbl>
    <w:p w14:paraId="59026EF7">
      <w:pPr>
        <w:shd w:val="clear"/>
        <w:tabs>
          <w:tab w:val="left" w:pos="828"/>
          <w:tab w:val="left" w:pos="1908"/>
          <w:tab w:val="left" w:pos="4876"/>
        </w:tabs>
        <w:snapToGrid w:val="0"/>
        <w:rPr>
          <w:rFonts w:ascii="宋体" w:hAnsi="Calibri" w:cs="宋体"/>
          <w:b/>
          <w:bCs/>
          <w:color w:val="auto"/>
          <w:sz w:val="24"/>
          <w:szCs w:val="24"/>
          <w:highlight w:val="none"/>
        </w:rPr>
      </w:pPr>
    </w:p>
    <w:p w14:paraId="7C46A478">
      <w:pPr>
        <w:shd w:val="clear"/>
        <w:rPr>
          <w:rFonts w:ascii="宋体" w:hAnsi="宋体" w:cs="宋体"/>
          <w:b/>
          <w:color w:val="auto"/>
          <w:highlight w:val="none"/>
        </w:rPr>
      </w:pPr>
    </w:p>
    <w:p w14:paraId="739F49AE">
      <w:pPr>
        <w:shd w:val="clear"/>
        <w:rPr>
          <w:rFonts w:ascii="宋体" w:hAnsi="宋体" w:cs="宋体"/>
          <w:b/>
          <w:color w:val="auto"/>
          <w:highlight w:val="none"/>
        </w:rPr>
      </w:pPr>
      <w:r>
        <w:rPr>
          <w:rFonts w:hint="eastAsia" w:ascii="宋体" w:hAnsi="宋体" w:cs="宋体"/>
          <w:b/>
          <w:color w:val="auto"/>
          <w:highlight w:val="none"/>
        </w:rPr>
        <w:t>1. 评标方法</w:t>
      </w:r>
    </w:p>
    <w:p w14:paraId="34CD891E">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1.1评标委员会依据本章评标标准规定对投标文件进行评审。</w:t>
      </w:r>
    </w:p>
    <w:p w14:paraId="70819104">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1.2 投标人有以下情形之一的，其投标作否决其投标处理：</w:t>
      </w:r>
    </w:p>
    <w:p w14:paraId="46171350">
      <w:pPr>
        <w:widowControl/>
        <w:shd w:val="clear"/>
        <w:spacing w:line="440" w:lineRule="exact"/>
        <w:rPr>
          <w:rFonts w:ascii="宋体" w:hAnsi="宋体" w:cs="宋体"/>
          <w:color w:val="auto"/>
          <w:kern w:val="0"/>
          <w:highlight w:val="none"/>
        </w:rPr>
      </w:pPr>
      <w:r>
        <w:rPr>
          <w:rFonts w:hint="eastAsia" w:ascii="宋体" w:hAnsi="宋体" w:cs="宋体"/>
          <w:color w:val="auto"/>
          <w:kern w:val="0"/>
          <w:highlight w:val="none"/>
        </w:rPr>
        <w:t xml:space="preserve">     详见《评标委员会否决其投标的条款》所列内容。</w:t>
      </w:r>
    </w:p>
    <w:p w14:paraId="10DD3D3E">
      <w:pPr>
        <w:shd w:val="clear"/>
        <w:spacing w:line="440" w:lineRule="exact"/>
        <w:ind w:firstLine="420"/>
        <w:rPr>
          <w:rFonts w:ascii="宋体" w:hAnsi="宋体" w:cs="宋体"/>
          <w:bCs/>
          <w:color w:val="auto"/>
          <w:highlight w:val="none"/>
        </w:rPr>
      </w:pPr>
      <w:r>
        <w:rPr>
          <w:rFonts w:hint="eastAsia" w:ascii="宋体" w:hAnsi="宋体" w:cs="宋体"/>
          <w:bCs/>
          <w:color w:val="auto"/>
          <w:highlight w:val="none"/>
        </w:rPr>
        <w:t>1.3评标委员会对满足招标文件实质性要求且通过初步评审的投标文件进行综合评审。</w:t>
      </w:r>
    </w:p>
    <w:p w14:paraId="13EFF867">
      <w:pPr>
        <w:numPr>
          <w:ilvl w:val="0"/>
          <w:numId w:val="5"/>
        </w:numPr>
        <w:shd w:val="clear"/>
        <w:spacing w:line="440" w:lineRule="exact"/>
        <w:rPr>
          <w:rFonts w:ascii="宋体" w:hAnsi="宋体" w:cs="宋体"/>
          <w:bCs/>
          <w:color w:val="auto"/>
          <w:highlight w:val="none"/>
        </w:rPr>
      </w:pPr>
      <w:r>
        <w:rPr>
          <w:rFonts w:hint="eastAsia" w:ascii="宋体" w:hAnsi="宋体" w:cs="宋体"/>
          <w:bCs/>
          <w:color w:val="auto"/>
          <w:highlight w:val="none"/>
        </w:rPr>
        <w:t>综合评审</w:t>
      </w:r>
    </w:p>
    <w:p w14:paraId="66E82021">
      <w:pPr>
        <w:shd w:val="clear"/>
        <w:spacing w:line="300" w:lineRule="auto"/>
        <w:ind w:firstLine="462" w:firstLineChars="220"/>
        <w:rPr>
          <w:rFonts w:ascii="宋体" w:hAnsi="宋体" w:cs="宋体"/>
          <w:bCs/>
          <w:color w:val="auto"/>
          <w:highlight w:val="none"/>
        </w:rPr>
      </w:pPr>
      <w:r>
        <w:rPr>
          <w:rFonts w:hint="eastAsia" w:ascii="宋体" w:hAnsi="宋体" w:cs="宋体"/>
          <w:bCs/>
          <w:color w:val="auto"/>
          <w:highlight w:val="none"/>
        </w:rPr>
        <w:t>初步评审结束后，评标委员会对所有通过初步评审的投标人，按综合评分表规定的标准进行独立打分。取所有评委打分的算术平均值作为投标人的最终得分，并按最终得分由高到低的顺序进行排序，得分最高的为第一中标候选人，</w:t>
      </w:r>
      <w:r>
        <w:rPr>
          <w:rFonts w:hint="eastAsia" w:ascii="宋体" w:hAnsi="宋体" w:cs="宋体"/>
          <w:bCs/>
          <w:color w:val="auto"/>
          <w:highlight w:val="none"/>
          <w:lang w:eastAsia="zh-CN"/>
        </w:rPr>
        <w:t>以此类推</w:t>
      </w:r>
      <w:r>
        <w:rPr>
          <w:rFonts w:hint="eastAsia" w:ascii="宋体" w:hAnsi="宋体" w:cs="宋体"/>
          <w:bCs/>
          <w:color w:val="auto"/>
          <w:highlight w:val="none"/>
        </w:rPr>
        <w:t>。（若出现综合得分相同，</w:t>
      </w:r>
      <w:r>
        <w:rPr>
          <w:rFonts w:hint="eastAsia" w:ascii="宋体" w:hAnsi="宋体" w:cs="宋体"/>
          <w:bCs/>
          <w:color w:val="auto"/>
          <w:highlight w:val="none"/>
          <w:lang w:eastAsia="zh-CN"/>
        </w:rPr>
        <w:t>按投标报价由低到高顺序排列，当投标人综合总得分相同且报价相同时，以服务方案得分高的企业优先推荐中标候选人，若服务方案得分也相同的，则由招标人抽签确定</w:t>
      </w:r>
      <w:r>
        <w:rPr>
          <w:rFonts w:hint="eastAsia" w:ascii="宋体" w:hAnsi="宋体" w:cs="宋体"/>
          <w:bCs/>
          <w:color w:val="auto"/>
          <w:highlight w:val="none"/>
        </w:rPr>
        <w:t>）。</w:t>
      </w:r>
    </w:p>
    <w:p w14:paraId="2BEE1491">
      <w:pPr>
        <w:shd w:val="clear"/>
        <w:snapToGrid w:val="0"/>
        <w:spacing w:line="440" w:lineRule="exact"/>
        <w:rPr>
          <w:rFonts w:ascii="宋体" w:hAnsi="宋体" w:cs="宋体"/>
          <w:b/>
          <w:color w:val="auto"/>
          <w:highlight w:val="none"/>
        </w:rPr>
      </w:pPr>
      <w:r>
        <w:rPr>
          <w:rFonts w:hint="eastAsia" w:ascii="宋体" w:hAnsi="宋体" w:cs="宋体"/>
          <w:b/>
          <w:color w:val="auto"/>
          <w:highlight w:val="none"/>
        </w:rPr>
        <w:t xml:space="preserve">    2.评价原则</w:t>
      </w:r>
    </w:p>
    <w:p w14:paraId="156F5182">
      <w:pPr>
        <w:shd w:val="clear"/>
        <w:snapToGrid w:val="0"/>
        <w:spacing w:line="440" w:lineRule="exact"/>
        <w:ind w:firstLine="420" w:firstLineChars="200"/>
        <w:rPr>
          <w:rFonts w:ascii="宋体" w:hAnsi="宋体" w:cs="宋体"/>
          <w:b/>
          <w:bCs/>
          <w:color w:val="auto"/>
          <w:highlight w:val="none"/>
        </w:rPr>
      </w:pPr>
      <w:r>
        <w:rPr>
          <w:rFonts w:hint="eastAsia" w:ascii="宋体" w:hAnsi="宋体" w:cs="宋体"/>
          <w:color w:val="auto"/>
          <w:highlight w:val="none"/>
        </w:rPr>
        <w:t>遵循公平、公正、科学、择优的原则。</w:t>
      </w:r>
    </w:p>
    <w:p w14:paraId="78BF2737">
      <w:pPr>
        <w:shd w:val="clear"/>
        <w:snapToGrid w:val="0"/>
        <w:spacing w:line="440" w:lineRule="exact"/>
        <w:rPr>
          <w:rFonts w:ascii="宋体" w:hAnsi="宋体" w:cs="宋体"/>
          <w:b/>
          <w:color w:val="auto"/>
          <w:highlight w:val="none"/>
        </w:rPr>
      </w:pPr>
      <w:r>
        <w:rPr>
          <w:rFonts w:hint="eastAsia" w:ascii="宋体" w:hAnsi="宋体" w:cs="宋体"/>
          <w:b/>
          <w:color w:val="auto"/>
          <w:highlight w:val="none"/>
        </w:rPr>
        <w:t xml:space="preserve">    3. 评标委员会组成及职责</w:t>
      </w:r>
    </w:p>
    <w:p w14:paraId="365CC74E">
      <w:pPr>
        <w:shd w:val="clear"/>
        <w:snapToGrid w:val="0"/>
        <w:spacing w:line="440" w:lineRule="exact"/>
        <w:ind w:firstLine="409" w:firstLineChars="195"/>
        <w:rPr>
          <w:rFonts w:ascii="宋体" w:hAnsi="宋体" w:cs="宋体"/>
          <w:color w:val="auto"/>
          <w:highlight w:val="none"/>
        </w:rPr>
      </w:pPr>
      <w:r>
        <w:rPr>
          <w:rFonts w:hint="eastAsia" w:ascii="宋体" w:hAnsi="宋体" w:cs="宋体"/>
          <w:color w:val="auto"/>
          <w:highlight w:val="none"/>
        </w:rPr>
        <w:t>3.1评标委员会</w:t>
      </w:r>
    </w:p>
    <w:p w14:paraId="7C955A65">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评标委员会由招标人依法组建，所有评标委员会成员推举产生评标委员会组长。</w:t>
      </w:r>
    </w:p>
    <w:p w14:paraId="1373ED15">
      <w:pPr>
        <w:shd w:val="clear"/>
        <w:adjustRightInd w:val="0"/>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3.2 评标委员会的职责</w:t>
      </w:r>
    </w:p>
    <w:p w14:paraId="3794ABD6">
      <w:pPr>
        <w:shd w:val="clear"/>
        <w:adjustRightInd w:val="0"/>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委员会应当根据评标办法，对投标文件进行评审和比较，向招标人推荐中标候选人或根据招标人的授权直接确定中标人。各评委独立评审，提出评审意见，不受任何单位或者个人的干预。各评委对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66450F16">
      <w:pPr>
        <w:shd w:val="clear"/>
        <w:snapToGrid w:val="0"/>
        <w:spacing w:line="440" w:lineRule="exact"/>
        <w:rPr>
          <w:rFonts w:ascii="宋体" w:hAnsi="宋体" w:cs="宋体"/>
          <w:b/>
          <w:color w:val="auto"/>
          <w:highlight w:val="none"/>
        </w:rPr>
      </w:pPr>
      <w:bookmarkStart w:id="308" w:name="_Toc335122769"/>
      <w:bookmarkStart w:id="309" w:name="_Toc338395644"/>
      <w:r>
        <w:rPr>
          <w:rFonts w:hint="eastAsia" w:ascii="宋体" w:hAnsi="宋体" w:cs="宋体"/>
          <w:b/>
          <w:color w:val="auto"/>
          <w:highlight w:val="none"/>
        </w:rPr>
        <w:t xml:space="preserve">    4.评标程序</w:t>
      </w:r>
      <w:bookmarkEnd w:id="308"/>
      <w:bookmarkEnd w:id="309"/>
    </w:p>
    <w:p w14:paraId="522D0CE4">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评标准备、初步评审（资格评审、符合性评审）、详细评审（综合评审），推荐中标候选人。</w:t>
      </w:r>
    </w:p>
    <w:p w14:paraId="2053FC70">
      <w:pPr>
        <w:shd w:val="clear"/>
        <w:snapToGrid w:val="0"/>
        <w:spacing w:line="440" w:lineRule="exact"/>
        <w:ind w:firstLine="308" w:firstLineChars="147"/>
        <w:rPr>
          <w:rFonts w:ascii="宋体" w:hAnsi="宋体" w:cs="宋体"/>
          <w:color w:val="auto"/>
          <w:highlight w:val="none"/>
        </w:rPr>
      </w:pPr>
      <w:r>
        <w:rPr>
          <w:rFonts w:hint="eastAsia" w:ascii="宋体" w:hAnsi="宋体" w:cs="宋体"/>
          <w:color w:val="auto"/>
          <w:highlight w:val="none"/>
        </w:rPr>
        <w:t xml:space="preserve"> 4.1评标准备</w:t>
      </w:r>
    </w:p>
    <w:p w14:paraId="2DB610E0">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评标委员会熟悉评标工作情况：</w:t>
      </w:r>
    </w:p>
    <w:p w14:paraId="0C977D75">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lang w:eastAsia="zh-CN"/>
        </w:rPr>
        <w:t>（1）</w:t>
      </w:r>
      <w:r>
        <w:rPr>
          <w:rFonts w:hint="eastAsia" w:ascii="宋体" w:hAnsi="宋体" w:cs="宋体"/>
          <w:color w:val="auto"/>
          <w:highlight w:val="none"/>
        </w:rPr>
        <w:t>阅读、研究招标文件和相关评标资料，获取评标所需要的重要信息和数据，至少应了解和熟悉以下内容：招标的目标、招标项目的范围和性质、招标文件规定的主要技术要求、标准和商务条款。</w:t>
      </w:r>
    </w:p>
    <w:p w14:paraId="6D7E5734">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熟悉招标文件规定的评标标准和评标方法及在评标过程中需要考虑的相关因素。</w:t>
      </w:r>
    </w:p>
    <w:p w14:paraId="5011512F">
      <w:pPr>
        <w:widowControl/>
        <w:shd w:val="clear"/>
        <w:spacing w:line="440" w:lineRule="atLeast"/>
        <w:ind w:firstLine="412"/>
        <w:rPr>
          <w:rFonts w:ascii="宋体" w:hAnsi="宋体" w:cs="宋体"/>
          <w:color w:val="auto"/>
          <w:kern w:val="0"/>
          <w:highlight w:val="none"/>
        </w:rPr>
      </w:pPr>
      <w:r>
        <w:rPr>
          <w:rFonts w:hint="eastAsia" w:ascii="宋体" w:hAnsi="宋体" w:cs="宋体"/>
          <w:color w:val="auto"/>
          <w:kern w:val="0"/>
          <w:highlight w:val="none"/>
          <w:lang w:eastAsia="zh-CN"/>
        </w:rPr>
        <w:t>（3）</w:t>
      </w:r>
      <w:r>
        <w:rPr>
          <w:rFonts w:hint="eastAsia" w:ascii="宋体" w:hAnsi="宋体" w:cs="宋体"/>
          <w:color w:val="auto"/>
          <w:kern w:val="0"/>
          <w:highlight w:val="none"/>
        </w:rPr>
        <w:t>核对评标工作用表。</w:t>
      </w:r>
    </w:p>
    <w:p w14:paraId="2FA7C97F">
      <w:pPr>
        <w:widowControl/>
        <w:shd w:val="clear"/>
        <w:spacing w:line="440" w:lineRule="atLeast"/>
        <w:ind w:firstLine="412"/>
        <w:rPr>
          <w:rFonts w:ascii="宋体" w:hAnsi="宋体" w:cs="宋体"/>
          <w:color w:val="auto"/>
          <w:kern w:val="0"/>
          <w:highlight w:val="none"/>
        </w:rPr>
      </w:pPr>
      <w:r>
        <w:rPr>
          <w:rFonts w:hint="eastAsia" w:ascii="宋体" w:hAnsi="宋体" w:cs="宋体"/>
          <w:color w:val="auto"/>
          <w:kern w:val="0"/>
          <w:highlight w:val="none"/>
        </w:rPr>
        <w:t>4.2评审步骤</w:t>
      </w:r>
    </w:p>
    <w:p w14:paraId="040C2BE1">
      <w:pPr>
        <w:widowControl/>
        <w:numPr>
          <w:ilvl w:val="0"/>
          <w:numId w:val="6"/>
        </w:numPr>
        <w:shd w:val="clear"/>
        <w:spacing w:line="440" w:lineRule="atLeast"/>
        <w:ind w:firstLine="412"/>
        <w:rPr>
          <w:rFonts w:ascii="宋体" w:hAnsi="宋体" w:cs="宋体"/>
          <w:color w:val="auto"/>
          <w:kern w:val="0"/>
          <w:highlight w:val="none"/>
        </w:rPr>
      </w:pPr>
      <w:r>
        <w:rPr>
          <w:rFonts w:hint="eastAsia" w:ascii="宋体" w:hAnsi="宋体" w:cs="宋体"/>
          <w:color w:val="auto"/>
          <w:kern w:val="0"/>
          <w:highlight w:val="none"/>
        </w:rPr>
        <w:t>核对投标人</w:t>
      </w:r>
      <w:r>
        <w:rPr>
          <w:rFonts w:hint="eastAsia" w:ascii="宋体" w:hAnsi="宋体" w:cs="宋体"/>
          <w:color w:val="auto"/>
          <w:highlight w:val="none"/>
        </w:rPr>
        <w:t>提供的证明材料是否符合要求，并出具核对结果；</w:t>
      </w:r>
    </w:p>
    <w:p w14:paraId="458F7A90">
      <w:pPr>
        <w:widowControl/>
        <w:shd w:val="clear"/>
        <w:spacing w:line="440" w:lineRule="atLeast"/>
        <w:rPr>
          <w:rFonts w:ascii="宋体" w:hAnsi="宋体" w:cs="宋体"/>
          <w:color w:val="auto"/>
          <w:kern w:val="0"/>
          <w:highlight w:val="none"/>
        </w:rPr>
      </w:pPr>
      <w:r>
        <w:rPr>
          <w:rFonts w:hint="eastAsia" w:ascii="宋体" w:hAnsi="宋体" w:cs="宋体"/>
          <w:color w:val="auto"/>
          <w:kern w:val="0"/>
          <w:highlight w:val="none"/>
        </w:rPr>
        <w:t xml:space="preserve">    </w:t>
      </w:r>
      <w:r>
        <w:rPr>
          <w:rFonts w:hint="eastAsia" w:ascii="宋体" w:hAnsi="宋体" w:cs="宋体"/>
          <w:color w:val="auto"/>
          <w:kern w:val="0"/>
          <w:highlight w:val="none"/>
          <w:lang w:eastAsia="zh-CN"/>
        </w:rPr>
        <w:t>2.</w:t>
      </w:r>
      <w:r>
        <w:rPr>
          <w:rFonts w:hint="eastAsia" w:ascii="宋体" w:hAnsi="宋体" w:cs="宋体"/>
          <w:color w:val="auto"/>
          <w:kern w:val="0"/>
          <w:highlight w:val="none"/>
        </w:rPr>
        <w:t>按评标办法前附表进行形式评审、响应性评审及资格性评审；</w:t>
      </w:r>
    </w:p>
    <w:p w14:paraId="353FCD3A">
      <w:pPr>
        <w:widowControl/>
        <w:shd w:val="clear"/>
        <w:spacing w:line="440" w:lineRule="atLeast"/>
        <w:rPr>
          <w:rFonts w:ascii="宋体" w:hAnsi="宋体" w:cs="宋体"/>
          <w:color w:val="auto"/>
          <w:kern w:val="0"/>
          <w:highlight w:val="none"/>
        </w:rPr>
      </w:pPr>
      <w:r>
        <w:rPr>
          <w:rFonts w:hint="eastAsia" w:ascii="宋体" w:hAnsi="宋体" w:cs="宋体"/>
          <w:color w:val="auto"/>
          <w:kern w:val="0"/>
          <w:highlight w:val="none"/>
        </w:rPr>
        <w:t xml:space="preserve">    </w:t>
      </w:r>
      <w:r>
        <w:rPr>
          <w:rFonts w:hint="eastAsia" w:ascii="宋体" w:hAnsi="宋体" w:cs="宋体"/>
          <w:color w:val="auto"/>
          <w:kern w:val="0"/>
          <w:highlight w:val="none"/>
          <w:lang w:eastAsia="zh-CN"/>
        </w:rPr>
        <w:t>3.</w:t>
      </w:r>
      <w:r>
        <w:rPr>
          <w:rFonts w:hint="eastAsia" w:ascii="宋体" w:hAnsi="宋体" w:cs="宋体"/>
          <w:color w:val="auto"/>
          <w:kern w:val="0"/>
          <w:highlight w:val="none"/>
        </w:rPr>
        <w:t>形式评审、响应性评审及资格性评审通过的，进行综合评审打分；</w:t>
      </w:r>
    </w:p>
    <w:p w14:paraId="564D5E85">
      <w:pPr>
        <w:shd w:val="clear"/>
        <w:snapToGrid w:val="0"/>
        <w:spacing w:line="440" w:lineRule="exact"/>
        <w:ind w:firstLine="420"/>
        <w:rPr>
          <w:rFonts w:ascii="宋体" w:hAnsi="宋体" w:cs="宋体"/>
          <w:b/>
          <w:color w:val="auto"/>
          <w:highlight w:val="none"/>
        </w:rPr>
      </w:pPr>
      <w:r>
        <w:rPr>
          <w:rFonts w:hint="eastAsia" w:ascii="宋体" w:hAnsi="宋体" w:cs="宋体"/>
          <w:b/>
          <w:color w:val="auto"/>
          <w:highlight w:val="none"/>
        </w:rPr>
        <w:t>5.评审内容</w:t>
      </w:r>
    </w:p>
    <w:p w14:paraId="5C4F3012">
      <w:pPr>
        <w:shd w:val="clear"/>
        <w:snapToGrid w:val="0"/>
        <w:spacing w:line="440" w:lineRule="exact"/>
        <w:ind w:firstLine="420"/>
        <w:rPr>
          <w:rFonts w:ascii="宋体" w:hAnsi="宋体" w:cs="宋体"/>
          <w:color w:val="auto"/>
          <w:highlight w:val="none"/>
        </w:rPr>
      </w:pPr>
      <w:r>
        <w:rPr>
          <w:rFonts w:hint="eastAsia" w:ascii="宋体" w:hAnsi="宋体" w:cs="宋体"/>
          <w:color w:val="auto"/>
          <w:highlight w:val="none"/>
        </w:rPr>
        <w:t>评标办法要求的所有资料复印件都要在投标文件中得到体现方为有效，否则将视为未按要求提供相关证件。</w:t>
      </w:r>
    </w:p>
    <w:p w14:paraId="5C6DDC1D">
      <w:pPr>
        <w:shd w:val="clear"/>
        <w:snapToGrid w:val="0"/>
        <w:spacing w:line="440" w:lineRule="exact"/>
        <w:ind w:firstLine="411" w:firstLineChars="196"/>
        <w:rPr>
          <w:rFonts w:ascii="宋体" w:hAnsi="宋体" w:cs="宋体"/>
          <w:color w:val="auto"/>
          <w:highlight w:val="none"/>
        </w:rPr>
      </w:pPr>
      <w:r>
        <w:rPr>
          <w:rFonts w:hint="eastAsia" w:ascii="宋体" w:hAnsi="宋体" w:cs="宋体"/>
          <w:color w:val="auto"/>
          <w:highlight w:val="none"/>
        </w:rPr>
        <w:t xml:space="preserve">5.1初步评审 </w:t>
      </w:r>
    </w:p>
    <w:p w14:paraId="36705703">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形式评审、响应性评审和资格评审：评标委员会依据招标文件规定的标准进行评审，有一项不符合评审标准的，则按否决其投标处理。</w:t>
      </w:r>
    </w:p>
    <w:p w14:paraId="612CE76B">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5.2详细评审</w:t>
      </w:r>
    </w:p>
    <w:p w14:paraId="209352FD">
      <w:pPr>
        <w:shd w:val="clear"/>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5.2.1综合评审：见综合评审表</w:t>
      </w:r>
    </w:p>
    <w:p w14:paraId="35FEE733">
      <w:pPr>
        <w:shd w:val="clear"/>
        <w:spacing w:line="360" w:lineRule="auto"/>
        <w:ind w:firstLine="420" w:firstLineChars="200"/>
        <w:outlineLvl w:val="3"/>
        <w:rPr>
          <w:rFonts w:ascii="宋体" w:hAnsi="宋体" w:cs="宋体"/>
          <w:color w:val="auto"/>
          <w:highlight w:val="none"/>
        </w:rPr>
      </w:pPr>
      <w:bookmarkStart w:id="310" w:name="_Toc144974563"/>
      <w:bookmarkStart w:id="311" w:name="_Toc246996982"/>
      <w:bookmarkStart w:id="312" w:name="_Toc152045596"/>
      <w:bookmarkStart w:id="313" w:name="_Toc247085754"/>
      <w:bookmarkStart w:id="314" w:name="_Toc296602484"/>
      <w:bookmarkStart w:id="315" w:name="_Toc152042373"/>
      <w:bookmarkStart w:id="316" w:name="_Toc179632614"/>
      <w:bookmarkStart w:id="317" w:name="_Toc246996239"/>
      <w:r>
        <w:rPr>
          <w:rFonts w:hint="eastAsia" w:ascii="宋体" w:hAnsi="宋体" w:cs="宋体"/>
          <w:color w:val="auto"/>
          <w:highlight w:val="none"/>
        </w:rPr>
        <w:t>5.3 投标文件的澄清</w:t>
      </w:r>
      <w:bookmarkEnd w:id="310"/>
      <w:r>
        <w:rPr>
          <w:rFonts w:hint="eastAsia" w:ascii="宋体" w:hAnsi="宋体" w:cs="宋体"/>
          <w:color w:val="auto"/>
          <w:highlight w:val="none"/>
        </w:rPr>
        <w:t>和</w:t>
      </w:r>
      <w:bookmarkEnd w:id="311"/>
      <w:bookmarkEnd w:id="312"/>
      <w:bookmarkEnd w:id="313"/>
      <w:bookmarkEnd w:id="314"/>
      <w:bookmarkEnd w:id="315"/>
      <w:bookmarkEnd w:id="316"/>
      <w:bookmarkEnd w:id="317"/>
      <w:r>
        <w:rPr>
          <w:rFonts w:hint="eastAsia" w:ascii="宋体" w:hAnsi="宋体" w:cs="宋体"/>
          <w:color w:val="auto"/>
          <w:highlight w:val="none"/>
        </w:rPr>
        <w:t>补正</w:t>
      </w:r>
    </w:p>
    <w:p w14:paraId="379F1755">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5.3.1在评标过程中，评标委员会应以书面形式要求投标人对所提交的投标文件中不明确的内容进行书面澄清或说明，或者对细微偏差进行补正。评标委员会不接受投标人主动提出的澄清、说明或补正。</w:t>
      </w:r>
    </w:p>
    <w:p w14:paraId="4E6A7077">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5.3.2 澄清、说明和补正不得改变投标文件的实质性内容。投标人的书面澄清、说明和补正属于投标文件的组成部分。</w:t>
      </w:r>
    </w:p>
    <w:p w14:paraId="53142127">
      <w:pPr>
        <w:shd w:val="clea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5.3.3 评标委员会对投标人提交的澄清、说明或补正有疑问的，可以要求投标人进一步澄清、说明或补正，直至满足评标委员会的要求。</w:t>
      </w:r>
    </w:p>
    <w:p w14:paraId="297112E2">
      <w:pPr>
        <w:shd w:val="clear"/>
        <w:spacing w:line="360" w:lineRule="auto"/>
        <w:ind w:firstLine="420" w:firstLineChars="200"/>
        <w:outlineLvl w:val="3"/>
        <w:rPr>
          <w:rFonts w:ascii="宋体" w:hAnsi="宋体" w:cs="宋体"/>
          <w:bCs/>
          <w:color w:val="auto"/>
          <w:highlight w:val="none"/>
        </w:rPr>
      </w:pPr>
      <w:bookmarkStart w:id="318" w:name="_Toc296602485"/>
      <w:bookmarkStart w:id="319" w:name="_Toc152042374"/>
      <w:bookmarkStart w:id="320" w:name="_Toc246996240"/>
      <w:bookmarkStart w:id="321" w:name="_Toc152045597"/>
      <w:bookmarkStart w:id="322" w:name="_Toc144974564"/>
      <w:bookmarkStart w:id="323" w:name="_Toc247085755"/>
      <w:bookmarkStart w:id="324" w:name="_Toc246996983"/>
      <w:bookmarkStart w:id="325" w:name="_Toc179632615"/>
      <w:r>
        <w:rPr>
          <w:rFonts w:hint="eastAsia" w:ascii="宋体" w:hAnsi="宋体" w:cs="宋体"/>
          <w:bCs/>
          <w:color w:val="auto"/>
          <w:highlight w:val="none"/>
        </w:rPr>
        <w:t>5.4 评标结果</w:t>
      </w:r>
      <w:bookmarkEnd w:id="318"/>
      <w:bookmarkEnd w:id="319"/>
      <w:bookmarkEnd w:id="320"/>
      <w:bookmarkEnd w:id="321"/>
      <w:bookmarkEnd w:id="322"/>
      <w:bookmarkEnd w:id="323"/>
      <w:bookmarkEnd w:id="324"/>
      <w:bookmarkEnd w:id="325"/>
    </w:p>
    <w:p w14:paraId="2862E5D2">
      <w:pPr>
        <w:shd w:val="clear"/>
        <w:spacing w:line="300" w:lineRule="auto"/>
        <w:ind w:firstLine="420" w:firstLineChars="200"/>
        <w:rPr>
          <w:rFonts w:ascii="宋体" w:hAnsi="宋体" w:cs="宋体"/>
          <w:color w:val="auto"/>
          <w:highlight w:val="none"/>
        </w:rPr>
      </w:pPr>
      <w:r>
        <w:rPr>
          <w:rFonts w:hint="eastAsia" w:ascii="宋体" w:hAnsi="宋体" w:cs="宋体"/>
          <w:bCs/>
          <w:color w:val="auto"/>
          <w:highlight w:val="none"/>
        </w:rPr>
        <w:t>5.4.1标委员会按照评审结果推荐中标候选人</w:t>
      </w:r>
      <w:r>
        <w:rPr>
          <w:rFonts w:hint="eastAsia" w:ascii="宋体" w:hAnsi="宋体" w:cs="宋体"/>
          <w:color w:val="auto"/>
          <w:highlight w:val="none"/>
        </w:rPr>
        <w:t>：</w:t>
      </w:r>
    </w:p>
    <w:p w14:paraId="709BBDD3">
      <w:pPr>
        <w:shd w:val="clear"/>
        <w:spacing w:line="300" w:lineRule="auto"/>
        <w:ind w:firstLine="420" w:firstLineChars="200"/>
        <w:rPr>
          <w:rFonts w:ascii="宋体" w:hAnsi="宋体" w:cs="宋体"/>
          <w:color w:val="auto"/>
          <w:highlight w:val="none"/>
        </w:rPr>
      </w:pPr>
      <w:r>
        <w:rPr>
          <w:rFonts w:hint="eastAsia" w:ascii="宋体" w:hAnsi="宋体" w:cs="宋体"/>
          <w:color w:val="auto"/>
          <w:highlight w:val="none"/>
        </w:rPr>
        <w:t>按资格详细评审算出综合得分由高至低顺序：推荐</w:t>
      </w:r>
      <w:r>
        <w:rPr>
          <w:rFonts w:hint="eastAsia" w:ascii="宋体" w:hAnsi="宋体" w:cs="宋体"/>
          <w:color w:val="auto"/>
          <w:highlight w:val="none"/>
          <w:lang w:val="en-US" w:eastAsia="zh-CN"/>
        </w:rPr>
        <w:t>5-10</w:t>
      </w:r>
      <w:r>
        <w:rPr>
          <w:rFonts w:hint="eastAsia" w:ascii="宋体" w:hAnsi="宋体" w:cs="宋体"/>
          <w:color w:val="auto"/>
          <w:highlight w:val="none"/>
        </w:rPr>
        <w:t>名中标候选人。综合得分最高的为第一中标候选人，以此类推。如果综合得分出现两家或两家以上相同者，</w:t>
      </w:r>
      <w:r>
        <w:rPr>
          <w:rFonts w:hint="eastAsia" w:ascii="宋体" w:hAnsi="宋体" w:cs="宋体"/>
          <w:bCs/>
          <w:color w:val="auto"/>
          <w:highlight w:val="none"/>
        </w:rPr>
        <w:t>按投标报价由低到高顺序排列</w:t>
      </w:r>
      <w:r>
        <w:rPr>
          <w:rFonts w:hint="eastAsia" w:ascii="宋体" w:hAnsi="宋体" w:cs="宋体"/>
          <w:bCs/>
          <w:color w:val="auto"/>
          <w:highlight w:val="none"/>
          <w:lang w:eastAsia="zh-CN"/>
        </w:rPr>
        <w:t>，当投标人综合总得分相同且报价相同时，以服务方案得分高的企业优先推荐中标候选人，若服务方案得分也相同的，则由招标人抽签确定</w:t>
      </w:r>
      <w:r>
        <w:rPr>
          <w:rFonts w:hint="eastAsia" w:ascii="宋体" w:hAnsi="宋体" w:cs="宋体"/>
          <w:color w:val="auto"/>
          <w:highlight w:val="none"/>
        </w:rPr>
        <w:t>。若每标段符合招标文件要求的投标人在少于上述家数时，则按综合得分排名顺序全部推荐为中标候选人。</w:t>
      </w:r>
    </w:p>
    <w:p w14:paraId="52BB4CFE">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rPr>
        <w:t>5.4.2 评标委员会完成评标后，应当向招标人提交书面评标报告。评标报告应记载以下内容：</w:t>
      </w:r>
    </w:p>
    <w:p w14:paraId="691AA4D2">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（1）</w:t>
      </w:r>
      <w:r>
        <w:rPr>
          <w:rFonts w:hint="eastAsia" w:ascii="宋体" w:hAnsi="宋体" w:cs="宋体"/>
          <w:bCs/>
          <w:color w:val="auto"/>
          <w:highlight w:val="none"/>
        </w:rPr>
        <w:t>基本情况和数据表。</w:t>
      </w:r>
    </w:p>
    <w:p w14:paraId="62F0E46B">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（2）</w:t>
      </w:r>
      <w:r>
        <w:rPr>
          <w:rFonts w:hint="eastAsia" w:ascii="宋体" w:hAnsi="宋体" w:cs="宋体"/>
          <w:bCs/>
          <w:color w:val="auto"/>
          <w:highlight w:val="none"/>
        </w:rPr>
        <w:t>评标委员会成员名单。</w:t>
      </w:r>
    </w:p>
    <w:p w14:paraId="3329E5A9">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（3）</w:t>
      </w:r>
      <w:r>
        <w:rPr>
          <w:rFonts w:hint="eastAsia" w:ascii="宋体" w:hAnsi="宋体" w:cs="宋体"/>
          <w:bCs/>
          <w:color w:val="auto"/>
          <w:highlight w:val="none"/>
        </w:rPr>
        <w:t>开标记录。</w:t>
      </w:r>
    </w:p>
    <w:p w14:paraId="10F18E2B">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（4）</w:t>
      </w:r>
      <w:r>
        <w:rPr>
          <w:rFonts w:hint="eastAsia" w:ascii="宋体" w:hAnsi="宋体" w:cs="宋体"/>
          <w:bCs/>
          <w:color w:val="auto"/>
          <w:highlight w:val="none"/>
        </w:rPr>
        <w:t>符合要求的投标人一览表。</w:t>
      </w:r>
    </w:p>
    <w:p w14:paraId="42D63BBE">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（5）</w:t>
      </w:r>
      <w:r>
        <w:rPr>
          <w:rFonts w:hint="eastAsia" w:ascii="宋体" w:hAnsi="宋体" w:cs="宋体"/>
          <w:bCs/>
          <w:color w:val="auto"/>
          <w:highlight w:val="none"/>
        </w:rPr>
        <w:t>否决其投标情况说明。</w:t>
      </w:r>
    </w:p>
    <w:p w14:paraId="1E6A2254">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（6）</w:t>
      </w:r>
      <w:r>
        <w:rPr>
          <w:rFonts w:hint="eastAsia" w:ascii="宋体" w:hAnsi="宋体" w:cs="宋体"/>
          <w:bCs/>
          <w:color w:val="auto"/>
          <w:highlight w:val="none"/>
        </w:rPr>
        <w:t>评标标准、评标方法或者评标因素一览表。</w:t>
      </w:r>
    </w:p>
    <w:p w14:paraId="706B7B9D">
      <w:pPr>
        <w:spacing w:line="360" w:lineRule="auto"/>
        <w:ind w:firstLine="420" w:firstLineChars="200"/>
        <w:outlineLvl w:val="4"/>
        <w:rPr>
          <w:rFonts w:ascii="宋体" w:hAnsi="宋体" w:cs="宋体"/>
          <w:bCs/>
          <w:color w:val="auto"/>
          <w:highlight w:val="none"/>
        </w:rPr>
      </w:pPr>
      <w:bookmarkStart w:id="326" w:name="_Toc332211017"/>
      <w:r>
        <w:rPr>
          <w:rFonts w:hint="eastAsia" w:ascii="宋体" w:hAnsi="宋体" w:cs="宋体"/>
          <w:bCs/>
          <w:color w:val="auto"/>
          <w:highlight w:val="none"/>
          <w:lang w:eastAsia="zh-CN"/>
        </w:rPr>
        <w:t>（7）</w:t>
      </w:r>
      <w:r>
        <w:rPr>
          <w:rFonts w:hint="eastAsia" w:ascii="宋体" w:hAnsi="宋体" w:cs="宋体"/>
          <w:bCs/>
          <w:color w:val="auto"/>
          <w:highlight w:val="none"/>
        </w:rPr>
        <w:t>经评审的价格一览表。</w:t>
      </w:r>
      <w:bookmarkEnd w:id="326"/>
    </w:p>
    <w:p w14:paraId="1B58D41B">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（8）</w:t>
      </w:r>
      <w:r>
        <w:rPr>
          <w:rFonts w:hint="eastAsia" w:ascii="宋体" w:hAnsi="宋体" w:cs="宋体"/>
          <w:bCs/>
          <w:color w:val="auto"/>
          <w:highlight w:val="none"/>
        </w:rPr>
        <w:t>经评审的投标人排序。</w:t>
      </w:r>
    </w:p>
    <w:p w14:paraId="1FD35A67">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（9）</w:t>
      </w:r>
      <w:r>
        <w:rPr>
          <w:rFonts w:hint="eastAsia" w:ascii="宋体" w:hAnsi="宋体" w:cs="宋体"/>
          <w:bCs/>
          <w:color w:val="auto"/>
          <w:highlight w:val="none"/>
        </w:rPr>
        <w:t>推荐的中标候选人名单与签订合同前要处理的事宜。</w:t>
      </w:r>
    </w:p>
    <w:p w14:paraId="739730E9">
      <w:pPr>
        <w:spacing w:line="360" w:lineRule="auto"/>
        <w:ind w:firstLine="420" w:firstLineChars="200"/>
        <w:outlineLvl w:val="4"/>
        <w:rPr>
          <w:rFonts w:ascii="宋体" w:hAnsi="宋体" w:cs="宋体"/>
          <w:bCs/>
          <w:color w:val="auto"/>
          <w:highlight w:val="none"/>
        </w:rPr>
      </w:pPr>
      <w:r>
        <w:rPr>
          <w:rFonts w:hint="eastAsia" w:ascii="宋体" w:hAnsi="宋体" w:cs="宋体"/>
          <w:bCs/>
          <w:color w:val="auto"/>
          <w:highlight w:val="none"/>
          <w:lang w:eastAsia="zh-CN"/>
        </w:rPr>
        <w:t>（10）</w:t>
      </w:r>
      <w:r>
        <w:rPr>
          <w:rFonts w:hint="eastAsia" w:ascii="宋体" w:hAnsi="宋体" w:cs="宋体"/>
          <w:bCs/>
          <w:color w:val="auto"/>
          <w:highlight w:val="none"/>
        </w:rPr>
        <w:t>澄清、说明、补正事项纪要。</w:t>
      </w:r>
    </w:p>
    <w:p w14:paraId="1E23A9FB">
      <w:pPr>
        <w:spacing w:line="360" w:lineRule="auto"/>
        <w:outlineLvl w:val="4"/>
        <w:rPr>
          <w:rFonts w:ascii="宋体" w:hAnsi="宋体" w:cs="宋体"/>
          <w:b/>
          <w:color w:val="auto"/>
          <w:highlight w:val="none"/>
        </w:rPr>
      </w:pPr>
      <w:r>
        <w:rPr>
          <w:rFonts w:hint="eastAsia" w:ascii="宋体" w:hAnsi="宋体" w:cs="宋体"/>
          <w:b/>
          <w:color w:val="auto"/>
          <w:highlight w:val="none"/>
        </w:rPr>
        <w:t>6. 适用范围</w:t>
      </w:r>
    </w:p>
    <w:p w14:paraId="4C2086E9">
      <w:pPr>
        <w:tabs>
          <w:tab w:val="left" w:pos="5992"/>
        </w:tabs>
        <w:snapToGrid w:val="0"/>
        <w:spacing w:line="440" w:lineRule="exact"/>
        <w:jc w:val="center"/>
        <w:rPr>
          <w:rFonts w:ascii="宋体" w:hAnsi="宋体" w:cs="宋体"/>
          <w:b/>
          <w:color w:val="auto"/>
          <w:sz w:val="32"/>
          <w:szCs w:val="32"/>
          <w:highlight w:val="none"/>
        </w:rPr>
      </w:pPr>
      <w:r>
        <w:rPr>
          <w:rFonts w:hint="eastAsia" w:ascii="宋体" w:hAnsi="宋体" w:cs="宋体"/>
          <w:bCs/>
          <w:color w:val="auto"/>
          <w:highlight w:val="none"/>
          <w:u w:val="single"/>
        </w:rPr>
        <w:t>适用于本项目 。</w:t>
      </w:r>
      <w:r>
        <w:rPr>
          <w:rFonts w:hint="eastAsia" w:ascii="宋体" w:hAnsi="宋体" w:cs="宋体"/>
          <w:bCs/>
          <w:color w:val="auto"/>
          <w:highlight w:val="none"/>
          <w:u w:val="single"/>
          <w:lang w:eastAsia="zh-CN"/>
        </w:rPr>
        <w:tab/>
      </w:r>
      <w:bookmarkStart w:id="327" w:name="_Toc434829634"/>
      <w:r>
        <w:rPr>
          <w:rFonts w:hint="eastAsia" w:ascii="宋体" w:hAnsi="宋体" w:cs="宋体"/>
          <w:bCs/>
          <w:color w:val="auto"/>
          <w:highlight w:val="none"/>
          <w:u w:val="single"/>
          <w:lang w:eastAsia="zh-CN"/>
        </w:rPr>
        <w:br w:type="page"/>
      </w:r>
      <w:r>
        <w:rPr>
          <w:rFonts w:hint="eastAsia" w:ascii="宋体" w:hAnsi="宋体" w:cs="宋体"/>
          <w:b/>
          <w:color w:val="auto"/>
          <w:sz w:val="32"/>
          <w:szCs w:val="32"/>
          <w:highlight w:val="none"/>
        </w:rPr>
        <w:t>第五章 合同格式</w:t>
      </w:r>
    </w:p>
    <w:p w14:paraId="0283EA41">
      <w:pPr>
        <w:jc w:val="center"/>
        <w:rPr>
          <w:rFonts w:ascii="宋体" w:hAnsi="宋体"/>
          <w:b/>
          <w:bCs/>
          <w:sz w:val="44"/>
          <w:szCs w:val="44"/>
        </w:rPr>
      </w:pPr>
      <w:r>
        <w:rPr>
          <w:rFonts w:hint="eastAsia" w:ascii="宋体" w:hAnsi="宋体"/>
          <w:b/>
          <w:bCs/>
          <w:sz w:val="44"/>
          <w:szCs w:val="44"/>
        </w:rPr>
        <w:t>入库框架协议书</w:t>
      </w:r>
    </w:p>
    <w:p w14:paraId="0CBAE17A">
      <w:pPr>
        <w:spacing w:line="312" w:lineRule="auto"/>
        <w:ind w:firstLine="562" w:firstLineChars="200"/>
        <w:rPr>
          <w:rFonts w:ascii="宋体" w:hAnsi="宋体"/>
          <w:b/>
          <w:bCs/>
          <w:sz w:val="28"/>
          <w:szCs w:val="28"/>
        </w:rPr>
      </w:pPr>
      <w:r>
        <w:rPr>
          <w:rFonts w:hint="eastAsia" w:ascii="宋体" w:hAnsi="宋体"/>
          <w:b/>
          <w:bCs/>
          <w:sz w:val="28"/>
          <w:szCs w:val="28"/>
        </w:rPr>
        <w:t>委托方（甲方）：</w:t>
      </w:r>
      <w:r>
        <w:rPr>
          <w:rFonts w:hint="eastAsia" w:ascii="宋体" w:hAnsi="宋体"/>
          <w:sz w:val="28"/>
          <w:szCs w:val="28"/>
          <w:u w:val="single"/>
        </w:rPr>
        <w:t xml:space="preserve">                                     </w:t>
      </w:r>
    </w:p>
    <w:p w14:paraId="4A53E2E9">
      <w:pPr>
        <w:spacing w:line="312" w:lineRule="auto"/>
        <w:ind w:firstLine="562" w:firstLineChars="200"/>
        <w:rPr>
          <w:rFonts w:ascii="宋体" w:hAnsi="宋体"/>
          <w:u w:val="single"/>
        </w:rPr>
      </w:pPr>
      <w:r>
        <w:rPr>
          <w:rFonts w:hint="eastAsia" w:ascii="宋体" w:hAnsi="宋体"/>
          <w:b/>
          <w:bCs/>
          <w:sz w:val="28"/>
          <w:szCs w:val="28"/>
        </w:rPr>
        <w:t>受托方（乙方）</w:t>
      </w:r>
      <w:r>
        <w:rPr>
          <w:rFonts w:hint="eastAsia" w:ascii="宋体" w:hAnsi="宋体"/>
          <w:sz w:val="28"/>
          <w:szCs w:val="28"/>
        </w:rPr>
        <w:t>：</w:t>
      </w:r>
      <w:r>
        <w:rPr>
          <w:rFonts w:hint="eastAsia" w:ascii="宋体" w:hAnsi="宋体"/>
          <w:u w:val="single"/>
        </w:rPr>
        <w:t xml:space="preserve">                                                  </w:t>
      </w:r>
    </w:p>
    <w:p w14:paraId="2C67ACA0">
      <w:pPr>
        <w:shd w:val="clear" w:color="auto" w:fill="FFFFFF"/>
        <w:snapToGrid w:val="0"/>
        <w:spacing w:before="100" w:beforeAutospacing="1" w:after="100" w:afterAutospacing="1" w:line="360" w:lineRule="auto"/>
        <w:ind w:firstLine="480" w:firstLineChars="200"/>
        <w:rPr>
          <w:bCs/>
          <w:sz w:val="24"/>
          <w:szCs w:val="24"/>
        </w:rPr>
      </w:pPr>
      <w:r>
        <w:rPr>
          <w:rFonts w:hint="eastAsia"/>
          <w:bCs/>
          <w:sz w:val="24"/>
          <w:szCs w:val="24"/>
        </w:rPr>
        <w:t>甲方通过</w:t>
      </w:r>
      <w:r>
        <w:rPr>
          <w:rFonts w:hint="eastAsia"/>
          <w:bCs/>
          <w:sz w:val="24"/>
          <w:szCs w:val="24"/>
          <w:lang w:eastAsia="zh-CN"/>
        </w:rPr>
        <w:t>公开招标</w:t>
      </w:r>
      <w:r>
        <w:rPr>
          <w:rFonts w:hint="eastAsia"/>
          <w:bCs/>
          <w:sz w:val="24"/>
          <w:szCs w:val="24"/>
        </w:rPr>
        <w:t>等活动，确定乙方为阜阳投资发展集团有限公司造价咨询服务库入库单位，现依据《中华人民共和国民法典》及有关法律法规，结合本项目实际情况，双方本着平等自愿的原则，经协商，达成以下框架协议，并由双方共同遵守。</w:t>
      </w:r>
    </w:p>
    <w:p w14:paraId="241D8EC0">
      <w:pPr>
        <w:shd w:val="clear" w:color="auto" w:fill="FFFFFF"/>
        <w:snapToGrid w:val="0"/>
        <w:spacing w:before="100" w:beforeAutospacing="1" w:after="100" w:afterAutospacing="1" w:line="360" w:lineRule="auto"/>
        <w:ind w:firstLine="482" w:firstLineChars="200"/>
        <w:rPr>
          <w:b/>
          <w:sz w:val="24"/>
          <w:szCs w:val="24"/>
        </w:rPr>
      </w:pPr>
      <w:r>
        <w:rPr>
          <w:rFonts w:hint="eastAsia"/>
          <w:b/>
          <w:sz w:val="24"/>
          <w:szCs w:val="24"/>
        </w:rPr>
        <w:t>一、协议期限、业务范围及服务要求</w:t>
      </w:r>
    </w:p>
    <w:p w14:paraId="65E0730F">
      <w:pPr>
        <w:shd w:val="clear" w:color="auto" w:fill="FFFFFF"/>
        <w:snapToGrid w:val="0"/>
        <w:spacing w:line="500" w:lineRule="exact"/>
        <w:ind w:firstLine="480" w:firstLineChars="200"/>
        <w:rPr>
          <w:rFonts w:hint="eastAsia" w:ascii="宋体" w:hAnsi="宋体" w:eastAsia="宋体" w:cs="宋体"/>
          <w:bCs/>
          <w:sz w:val="24"/>
          <w:szCs w:val="24"/>
          <w:lang w:eastAsia="zh-CN"/>
        </w:rPr>
      </w:pPr>
      <w:r>
        <w:rPr>
          <w:rFonts w:hint="eastAsia" w:ascii="宋体" w:hAnsi="宋体" w:cs="宋体"/>
          <w:bCs/>
          <w:sz w:val="24"/>
          <w:szCs w:val="24"/>
        </w:rPr>
        <w:t>1、</w:t>
      </w:r>
      <w:r>
        <w:rPr>
          <w:rFonts w:hint="eastAsia" w:ascii="宋体" w:hAnsi="宋体" w:cs="宋体"/>
          <w:bCs/>
          <w:sz w:val="24"/>
          <w:szCs w:val="24"/>
          <w:lang w:val="zh-CN"/>
        </w:rPr>
        <w:t>由</w:t>
      </w:r>
      <w:r>
        <w:rPr>
          <w:rFonts w:hint="eastAsia" w:ascii="宋体" w:hAnsi="宋体" w:cs="宋体"/>
          <w:bCs/>
          <w:sz w:val="24"/>
          <w:szCs w:val="24"/>
        </w:rPr>
        <w:t>甲方</w:t>
      </w:r>
      <w:r>
        <w:rPr>
          <w:rFonts w:hint="eastAsia" w:ascii="宋体" w:hAnsi="宋体" w:cs="宋体"/>
          <w:bCs/>
          <w:sz w:val="24"/>
          <w:szCs w:val="24"/>
          <w:lang w:val="zh-CN"/>
        </w:rPr>
        <w:t>负责组建并管理阜阳投资发展集团有限公司造价咨询服务机构库</w:t>
      </w:r>
      <w:r>
        <w:rPr>
          <w:rFonts w:hint="eastAsia" w:ascii="宋体" w:hAnsi="宋体" w:cs="宋体"/>
          <w:bCs/>
          <w:sz w:val="24"/>
          <w:szCs w:val="24"/>
        </w:rPr>
        <w:t>，服务期限：</w:t>
      </w:r>
      <w:r>
        <w:rPr>
          <w:rFonts w:hint="eastAsia" w:ascii="宋体" w:hAnsi="宋体" w:cs="宋体"/>
          <w:bCs/>
          <w:sz w:val="24"/>
          <w:szCs w:val="24"/>
          <w:lang w:eastAsia="zh-CN"/>
        </w:rPr>
        <w:t>3年（自签订入库协议之日起计算）。</w:t>
      </w:r>
      <w:r>
        <w:rPr>
          <w:rFonts w:hint="eastAsia" w:ascii="宋体" w:hAnsi="宋体" w:cs="宋体"/>
          <w:bCs/>
          <w:sz w:val="24"/>
          <w:szCs w:val="24"/>
          <w:lang w:val="en-US" w:eastAsia="zh-CN"/>
        </w:rPr>
        <w:t>甲方</w:t>
      </w:r>
      <w:r>
        <w:rPr>
          <w:rFonts w:hint="eastAsia" w:ascii="宋体" w:hAnsi="宋体" w:cs="宋体"/>
          <w:bCs/>
          <w:sz w:val="24"/>
          <w:szCs w:val="24"/>
          <w:lang w:eastAsia="zh-CN"/>
        </w:rPr>
        <w:t>采取考评淘汰制及出现重大失误淘汰制，每年考评一次。招标人采取考评淘汰制及出现重大失误淘汰制，每年考评一次。采取1+1+1年方式，第一年全年考核合格，自然转入第二年服务期，第二年全年考核合格，自然转入第三年服务期。</w:t>
      </w:r>
      <w:r>
        <w:rPr>
          <w:rFonts w:hint="eastAsia" w:ascii="宋体" w:hAnsi="宋体" w:cs="宋体"/>
          <w:bCs/>
          <w:sz w:val="24"/>
          <w:szCs w:val="24"/>
          <w:lang w:val="en-US" w:eastAsia="zh-CN"/>
        </w:rPr>
        <w:t>任一年度考核不合格的</w:t>
      </w:r>
      <w:r>
        <w:rPr>
          <w:rFonts w:hint="eastAsia" w:ascii="宋体" w:hAnsi="宋体" w:cs="宋体"/>
          <w:bCs/>
          <w:sz w:val="24"/>
          <w:szCs w:val="24"/>
          <w:lang w:eastAsia="zh-CN"/>
        </w:rPr>
        <w:t>则终止合同，</w:t>
      </w:r>
      <w:r>
        <w:rPr>
          <w:rFonts w:hint="eastAsia" w:ascii="宋体" w:hAnsi="宋体" w:cs="宋体"/>
          <w:bCs/>
          <w:sz w:val="24"/>
          <w:szCs w:val="24"/>
          <w:lang w:val="en-US" w:eastAsia="zh-CN"/>
        </w:rPr>
        <w:t>且</w:t>
      </w:r>
      <w:r>
        <w:rPr>
          <w:rFonts w:hint="eastAsia" w:ascii="宋体" w:hAnsi="宋体" w:cs="宋体"/>
          <w:bCs/>
          <w:sz w:val="24"/>
          <w:szCs w:val="24"/>
          <w:lang w:eastAsia="zh-CN"/>
        </w:rPr>
        <w:t>服务期内考核不合格的单位不得参加下一轮本项目扩库的投标。招标人不保证有效期内入库单位的最低项目数量和项目的连续性。</w:t>
      </w:r>
    </w:p>
    <w:p w14:paraId="3AABB8C0">
      <w:pPr>
        <w:shd w:val="clear" w:color="auto" w:fill="FFFFFF"/>
        <w:snapToGrid w:val="0"/>
        <w:spacing w:line="500" w:lineRule="exact"/>
        <w:ind w:firstLine="480" w:firstLineChars="200"/>
        <w:rPr>
          <w:rFonts w:ascii="宋体" w:hAnsi="宋体" w:cs="宋体"/>
          <w:bCs/>
          <w:sz w:val="24"/>
          <w:szCs w:val="24"/>
          <w:lang w:val="zh-CN"/>
        </w:rPr>
      </w:pPr>
      <w:r>
        <w:rPr>
          <w:rFonts w:hint="eastAsia" w:ascii="宋体" w:hAnsi="宋体" w:cs="宋体"/>
          <w:bCs/>
          <w:sz w:val="24"/>
          <w:szCs w:val="24"/>
        </w:rPr>
        <w:t>甲方</w:t>
      </w:r>
      <w:r>
        <w:rPr>
          <w:rFonts w:hint="eastAsia" w:ascii="宋体" w:hAnsi="宋体" w:cs="宋体"/>
          <w:bCs/>
          <w:sz w:val="24"/>
          <w:szCs w:val="24"/>
          <w:lang w:val="zh-CN"/>
        </w:rPr>
        <w:t>每年一考核，每年采取考评淘汰制及出现重大失误淘汰制，对考评不合格的企业有权予以清除出库，各入库单位必须就以后所授项目积极响应，如有违规现象，甲方有权将其清除出库，并不予退还履约保证金。</w:t>
      </w:r>
    </w:p>
    <w:p w14:paraId="19CCFDCB">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本协议书期限：自   年  月  日至   年  月  日。协议期满后，甲方根据其服务情况有权决定是否签署协议书。协议期内，乙方如有违规违约行为，甲方有权解除本协议，将其清除出库，并</w:t>
      </w:r>
      <w:r>
        <w:rPr>
          <w:rFonts w:hint="eastAsia" w:ascii="宋体" w:hAnsi="宋体" w:cs="宋体"/>
          <w:bCs/>
          <w:sz w:val="24"/>
          <w:szCs w:val="24"/>
          <w:lang w:eastAsia="zh-CN"/>
        </w:rPr>
        <w:t>不予退还其履约保证金</w:t>
      </w:r>
      <w:r>
        <w:rPr>
          <w:rFonts w:hint="eastAsia" w:ascii="宋体" w:hAnsi="宋体" w:cs="宋体"/>
          <w:bCs/>
          <w:sz w:val="24"/>
          <w:szCs w:val="24"/>
        </w:rPr>
        <w:t>，赔偿甲方损失。协议期内，如发现有串标围标等行为，将进行严肃处理，</w:t>
      </w:r>
      <w:r>
        <w:rPr>
          <w:rFonts w:hint="eastAsia" w:ascii="宋体" w:hAnsi="宋体" w:cs="宋体"/>
          <w:bCs/>
          <w:sz w:val="24"/>
          <w:szCs w:val="24"/>
          <w:lang w:eastAsia="zh-CN"/>
        </w:rPr>
        <w:t>不予退还其履约保证金</w:t>
      </w:r>
      <w:r>
        <w:rPr>
          <w:rFonts w:hint="eastAsia" w:ascii="宋体" w:hAnsi="宋体" w:cs="宋体"/>
          <w:bCs/>
          <w:sz w:val="24"/>
          <w:szCs w:val="24"/>
        </w:rPr>
        <w:t>，并上报主管部门，举报相关行为将适当奖励。</w:t>
      </w:r>
    </w:p>
    <w:p w14:paraId="0EE8DF10">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为加强入库单位管理，提高服务质量，结合实际工作管理考核等因素，将对入库单位采用动态考核进行管理。甲方有权根据项目时序轻重缓急选择服务单位，同时保留各库适时更新变动的权利。</w:t>
      </w:r>
    </w:p>
    <w:p w14:paraId="1DD3E3D0">
      <w:pPr>
        <w:shd w:val="clear" w:color="auto" w:fill="FFFFFF"/>
        <w:snapToGrid w:val="0"/>
        <w:spacing w:line="500" w:lineRule="exact"/>
        <w:ind w:left="525"/>
        <w:rPr>
          <w:rFonts w:ascii="宋体" w:hAnsi="宋体" w:cs="宋体"/>
          <w:bCs/>
          <w:sz w:val="24"/>
          <w:szCs w:val="24"/>
          <w:lang w:val="zh-CN"/>
        </w:rPr>
      </w:pPr>
      <w:r>
        <w:rPr>
          <w:rFonts w:hint="eastAsia" w:ascii="宋体" w:hAnsi="宋体" w:cs="宋体"/>
          <w:bCs/>
          <w:sz w:val="24"/>
          <w:szCs w:val="24"/>
        </w:rPr>
        <w:t xml:space="preserve">2、乙方服务范围：由甲方管理的服务项目； </w:t>
      </w:r>
    </w:p>
    <w:p w14:paraId="471068B1">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服务内容为：具体服务内容以各项目签署的具体服务合同约定为准。履约保证金在服务期满后一次性无息返还。</w:t>
      </w:r>
    </w:p>
    <w:p w14:paraId="4FB6293E">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3、服务要求：</w:t>
      </w:r>
    </w:p>
    <w:p w14:paraId="401C2975">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3.1、乙方应严格按照相关法律、法规、文件，履行必要的执业程序，不得从事违背法律、法规及甲方相关管理规定和损害甲方利益的活动，一经发现，甲方有权解除合同并追究其法律责任，造成甲方损失的，应承担由此造成甲方的全部损失。</w:t>
      </w:r>
    </w:p>
    <w:p w14:paraId="5E4B766B">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3.2、乙方在服务过程中，在接到甲方到现场服务的通知后，入库单位在接到甲方通知后4小时内作出响应，并在甲方指定的时间内到达服务现场进行服务，如在一年内出现两次以上不认真响应甲方要求或者拒绝承接项目的，甲方将</w:t>
      </w:r>
      <w:r>
        <w:rPr>
          <w:rFonts w:hint="eastAsia" w:ascii="宋体" w:hAnsi="宋体" w:cs="宋体"/>
          <w:bCs/>
          <w:sz w:val="24"/>
          <w:szCs w:val="24"/>
          <w:lang w:eastAsia="zh-CN"/>
        </w:rPr>
        <w:t>不予退还其履约保证金</w:t>
      </w:r>
      <w:r>
        <w:rPr>
          <w:rFonts w:hint="eastAsia" w:ascii="宋体" w:hAnsi="宋体" w:cs="宋体"/>
          <w:bCs/>
          <w:sz w:val="24"/>
          <w:szCs w:val="24"/>
        </w:rPr>
        <w:t>，有权清除出库。具体监督考核办法按照甲方的有关规定执行。</w:t>
      </w:r>
    </w:p>
    <w:p w14:paraId="340A386D">
      <w:pPr>
        <w:shd w:val="clear" w:color="auto" w:fill="FFFFFF"/>
        <w:snapToGrid w:val="0"/>
        <w:spacing w:line="500" w:lineRule="exact"/>
        <w:ind w:firstLine="600" w:firstLineChars="250"/>
        <w:rPr>
          <w:rFonts w:ascii="宋体" w:hAnsi="宋体" w:cs="宋体"/>
          <w:bCs/>
          <w:sz w:val="24"/>
          <w:szCs w:val="24"/>
        </w:rPr>
      </w:pPr>
      <w:r>
        <w:rPr>
          <w:rFonts w:hint="eastAsia" w:ascii="宋体" w:hAnsi="宋体" w:cs="宋体"/>
          <w:bCs/>
          <w:sz w:val="24"/>
          <w:szCs w:val="24"/>
        </w:rPr>
        <w:t>3.3、乙方须根据国家有关政策、法律、法规，本着独立、公正、科学的原则，运用合理的技能，谨慎而勤奋地工作，编制的成果文件应满足国家有关单位对此类文件的深度要求，并对成果文件的准确性、真实性、可靠性负责。</w:t>
      </w:r>
    </w:p>
    <w:p w14:paraId="3DDE47C5">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3.4、乙方负责对甲方提供的资料、数据等保密，未经甲方书面同意不得向任何第三方提供与本业务有关的任何资料；乙方须对其成果文件中相关内容的真实性、合法性、可行性负责。</w:t>
      </w:r>
    </w:p>
    <w:p w14:paraId="105D2E56">
      <w:pPr>
        <w:shd w:val="clear" w:color="auto" w:fill="FFFFFF"/>
        <w:snapToGrid w:val="0"/>
        <w:spacing w:line="500" w:lineRule="exact"/>
        <w:ind w:firstLine="600" w:firstLineChars="250"/>
        <w:rPr>
          <w:rFonts w:ascii="宋体" w:hAnsi="宋体" w:cs="宋体"/>
          <w:bCs/>
          <w:sz w:val="24"/>
          <w:szCs w:val="24"/>
        </w:rPr>
      </w:pPr>
      <w:r>
        <w:rPr>
          <w:rFonts w:hint="eastAsia" w:ascii="宋体" w:hAnsi="宋体" w:cs="宋体"/>
          <w:bCs/>
          <w:sz w:val="24"/>
          <w:szCs w:val="24"/>
        </w:rPr>
        <w:t>3.5、成果文件应装订编制，按相关要求递交份数，并保证美观；编制任务结束后应保证甲方能随时与其联系，全力配合甲方交办工作。</w:t>
      </w:r>
    </w:p>
    <w:p w14:paraId="1A2F78E8">
      <w:pPr>
        <w:shd w:val="clear" w:color="auto" w:fill="FFFFFF"/>
        <w:snapToGrid w:val="0"/>
        <w:spacing w:line="500" w:lineRule="exact"/>
        <w:ind w:firstLine="600" w:firstLineChars="250"/>
        <w:rPr>
          <w:rFonts w:ascii="宋体" w:hAnsi="宋体" w:cs="宋体"/>
          <w:bCs/>
          <w:sz w:val="24"/>
          <w:szCs w:val="24"/>
        </w:rPr>
      </w:pPr>
      <w:r>
        <w:rPr>
          <w:rFonts w:hint="eastAsia" w:ascii="宋体" w:hAnsi="宋体" w:cs="宋体"/>
          <w:bCs/>
          <w:sz w:val="24"/>
          <w:szCs w:val="24"/>
        </w:rPr>
        <w:t>3.6因乙方原因导致服务成果未经甲方认可，则甲方不支付乙方任何费用。</w:t>
      </w:r>
    </w:p>
    <w:p w14:paraId="512397A8">
      <w:pPr>
        <w:shd w:val="clear" w:color="auto" w:fill="FFFFFF"/>
        <w:snapToGrid w:val="0"/>
        <w:spacing w:line="500" w:lineRule="exact"/>
        <w:ind w:firstLine="602" w:firstLineChars="250"/>
        <w:rPr>
          <w:rFonts w:ascii="宋体" w:hAnsi="宋体" w:cs="宋体"/>
          <w:b/>
          <w:bCs/>
          <w:sz w:val="24"/>
          <w:szCs w:val="24"/>
        </w:rPr>
      </w:pPr>
      <w:r>
        <w:rPr>
          <w:rFonts w:hint="eastAsia" w:ascii="宋体" w:hAnsi="宋体" w:cs="宋体"/>
          <w:b/>
          <w:bCs/>
          <w:sz w:val="24"/>
          <w:szCs w:val="24"/>
        </w:rPr>
        <w:t>3.7</w:t>
      </w:r>
      <w:r>
        <w:rPr>
          <w:rFonts w:hint="eastAsia" w:ascii="宋体" w:hAnsi="宋体" w:cs="宋体"/>
          <w:b/>
          <w:bCs/>
          <w:sz w:val="24"/>
          <w:szCs w:val="24"/>
          <w:lang w:val="en-US" w:eastAsia="zh-CN"/>
        </w:rPr>
        <w:t>响应及</w:t>
      </w:r>
      <w:r>
        <w:rPr>
          <w:rFonts w:hint="eastAsia" w:ascii="宋体" w:hAnsi="宋体" w:cs="宋体"/>
          <w:b/>
          <w:bCs/>
          <w:sz w:val="24"/>
          <w:szCs w:val="24"/>
        </w:rPr>
        <w:t>处罚相关条款</w:t>
      </w:r>
    </w:p>
    <w:p w14:paraId="4384EA6B">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1、抽中的单位必须在规定时间内响应甲方要求，并及时提供服务，否则甲方将取消抽取结果。</w:t>
      </w:r>
    </w:p>
    <w:p w14:paraId="3C3E9C9E">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2、乙方不能及时参加项目抽取会议，或抽中后放弃服务的，或乙方在签署具体服务合同中，不接受招标文件、投标文件及具体合同约定内容的，视为其自动放弃单位入库资格，且本协议终止。</w:t>
      </w:r>
    </w:p>
    <w:p w14:paraId="0950E71E">
      <w:pPr>
        <w:shd w:val="clear" w:color="auto" w:fill="FFFFFF"/>
        <w:snapToGrid w:val="0"/>
        <w:spacing w:line="500" w:lineRule="exact"/>
        <w:ind w:firstLine="482" w:firstLineChars="200"/>
        <w:rPr>
          <w:rFonts w:ascii="宋体" w:hAnsi="宋体" w:cs="宋体"/>
          <w:b/>
          <w:sz w:val="24"/>
          <w:szCs w:val="24"/>
        </w:rPr>
      </w:pPr>
      <w:r>
        <w:rPr>
          <w:rFonts w:hint="eastAsia" w:ascii="宋体" w:hAnsi="宋体" w:cs="宋体"/>
          <w:b/>
          <w:sz w:val="24"/>
          <w:szCs w:val="24"/>
        </w:rPr>
        <w:t>三、合同授予原则</w:t>
      </w:r>
    </w:p>
    <w:p w14:paraId="5EBD1751">
      <w:pPr>
        <w:shd w:val="clear" w:color="auto" w:fill="FFFFFF"/>
        <w:snapToGrid w:val="0"/>
        <w:spacing w:line="500" w:lineRule="exact"/>
        <w:ind w:firstLine="600" w:firstLineChars="250"/>
        <w:rPr>
          <w:rFonts w:ascii="宋体" w:hAnsi="宋体" w:cs="宋体"/>
          <w:sz w:val="24"/>
          <w:szCs w:val="24"/>
        </w:rPr>
      </w:pPr>
      <w:r>
        <w:rPr>
          <w:rFonts w:hint="eastAsia" w:ascii="宋体" w:hAnsi="宋体" w:cs="宋体"/>
          <w:sz w:val="24"/>
          <w:szCs w:val="24"/>
        </w:rPr>
        <w:t>在入库框架协议期限内，按照项目受理的时间次序，有项目A、项目B，项目C……项目A由</w:t>
      </w:r>
      <w:r>
        <w:rPr>
          <w:rFonts w:hint="eastAsia" w:ascii="宋体" w:hAnsi="宋体" w:cs="宋体"/>
          <w:sz w:val="24"/>
          <w:szCs w:val="24"/>
          <w:lang w:val="en-US" w:eastAsia="zh-CN"/>
        </w:rPr>
        <w:t>甲方</w:t>
      </w:r>
      <w:r>
        <w:rPr>
          <w:rFonts w:hint="eastAsia" w:ascii="宋体" w:hAnsi="宋体" w:cs="宋体"/>
          <w:sz w:val="24"/>
          <w:szCs w:val="24"/>
        </w:rPr>
        <w:t>从该库中所有入库单位中随机抽取1家，项目B从该库中所有入库单位前一次未被抽中的单位中按上述方式继续进行，项目C则从该库中所有入库单位前两次均未被抽中的单位中继续进行，依次类推，该库所有入库单位抽完后重新开始新一轮抽签，抽签规则不变。</w:t>
      </w:r>
    </w:p>
    <w:p w14:paraId="42CF59BE">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sz w:val="24"/>
          <w:szCs w:val="24"/>
        </w:rPr>
        <w:t>特殊项目可由招标人根据投标人实力、考核结果和项目实际需求推荐。</w:t>
      </w:r>
    </w:p>
    <w:p w14:paraId="5B8FC21E">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sz w:val="24"/>
          <w:szCs w:val="24"/>
        </w:rPr>
        <w:t>抽中的单位必须在规定时间内响应招标人要求，并及时提供服务，否则招标人将取消抽取结果，进行第二次抽取程序，该轮轮空。</w:t>
      </w:r>
    </w:p>
    <w:p w14:paraId="002CDCAE">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sz w:val="24"/>
          <w:szCs w:val="24"/>
        </w:rPr>
        <w:t>项目待具体确定服务单位时，从入库单位中以随机抽取的方式确定该项目的最终服务单位，签订具体项目的服务合同。</w:t>
      </w:r>
    </w:p>
    <w:p w14:paraId="0BAB5964">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sz w:val="24"/>
          <w:szCs w:val="24"/>
        </w:rPr>
        <w:t>抽签由使用部门或单位在公司监督人员的监督下进行随机抽取，并通知被抽取的入库单位。乙方如出现三次不能及时参加项目抽签会议的、抽取项目后放弃中签资格的、不接受合同约定内容及阜阳投资发展集团有限公司相关管理办法规定的，视为其自动放弃入库单位资格，按违约处理，入库协议终止并没收履约保证金。招标人</w:t>
      </w:r>
      <w:r>
        <w:rPr>
          <w:rFonts w:hint="eastAsia" w:ascii="宋体" w:hAnsi="宋体" w:cs="宋体"/>
          <w:sz w:val="24"/>
          <w:szCs w:val="24"/>
          <w:lang w:val="zh-CN"/>
        </w:rPr>
        <w:t>不保证有效期内入库单位的最低项目数量和项目的连续性。</w:t>
      </w:r>
    </w:p>
    <w:p w14:paraId="3336E0DE">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2.</w:t>
      </w:r>
      <w:r>
        <w:rPr>
          <w:rFonts w:hint="eastAsia" w:ascii="宋体" w:hAnsi="宋体" w:cs="宋体"/>
          <w:bCs/>
          <w:sz w:val="24"/>
          <w:szCs w:val="24"/>
          <w:shd w:val="clear" w:color="auto" w:fill="FFFFFF"/>
          <w:lang w:bidi="ar"/>
        </w:rPr>
        <w:t>特殊项目可由甲方根据企业实力和项目实际需求直接合同授予，所有入库单位不得有任何异议。</w:t>
      </w:r>
    </w:p>
    <w:p w14:paraId="2F529A29">
      <w:pPr>
        <w:shd w:val="clear" w:color="auto" w:fill="FFFFFF"/>
        <w:snapToGrid w:val="0"/>
        <w:spacing w:line="500" w:lineRule="exact"/>
        <w:ind w:firstLine="361" w:firstLineChars="150"/>
        <w:rPr>
          <w:rFonts w:ascii="宋体" w:hAnsi="宋体" w:cs="宋体"/>
          <w:b/>
          <w:sz w:val="24"/>
          <w:szCs w:val="24"/>
        </w:rPr>
      </w:pPr>
      <w:r>
        <w:rPr>
          <w:rFonts w:hint="eastAsia" w:ascii="宋体" w:hAnsi="宋体" w:cs="宋体"/>
          <w:b/>
          <w:sz w:val="24"/>
          <w:szCs w:val="24"/>
        </w:rPr>
        <w:t>四、结算、付款方式</w:t>
      </w:r>
    </w:p>
    <w:p w14:paraId="59ACBEDB">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bCs/>
          <w:sz w:val="24"/>
          <w:szCs w:val="24"/>
          <w:shd w:val="clear" w:color="auto" w:fill="FFFFFF"/>
          <w:lang w:bidi="ar"/>
        </w:rPr>
        <w:t>1、</w:t>
      </w:r>
      <w:r>
        <w:rPr>
          <w:rFonts w:hint="eastAsia" w:ascii="宋体" w:hAnsi="宋体" w:cs="宋体"/>
          <w:sz w:val="24"/>
          <w:szCs w:val="24"/>
        </w:rPr>
        <w:t>工程量清单和控制价编制、结算审核、跟踪审计、其造价咨询费用参照原“皖价服〔2007〕86号”文件规定的相应咨询项目收费标准（下限费率）</w:t>
      </w:r>
      <w:r>
        <w:rPr>
          <w:rFonts w:hint="eastAsia" w:ascii="宋体" w:hAnsi="宋体" w:cs="宋体"/>
          <w:sz w:val="24"/>
          <w:szCs w:val="24"/>
          <w:lang w:val="zh-CN"/>
        </w:rPr>
        <w:t>入库中标费率</w:t>
      </w:r>
      <w:r>
        <w:rPr>
          <w:rFonts w:hint="eastAsia" w:ascii="宋体" w:hAnsi="宋体" w:cs="宋体"/>
          <w:sz w:val="24"/>
          <w:szCs w:val="24"/>
        </w:rPr>
        <w:t xml:space="preserve">    %。</w:t>
      </w:r>
      <w:r>
        <w:rPr>
          <w:rFonts w:hint="eastAsia" w:ascii="宋体" w:hAnsi="宋体" w:cs="宋体"/>
          <w:sz w:val="24"/>
          <w:szCs w:val="24"/>
          <w:lang w:eastAsia="zh-CN"/>
        </w:rPr>
        <w:t>（</w:t>
      </w:r>
      <w:r>
        <w:rPr>
          <w:rFonts w:hint="eastAsia" w:ascii="宋体" w:hAnsi="宋体" w:cs="宋体"/>
          <w:sz w:val="24"/>
          <w:szCs w:val="24"/>
        </w:rPr>
        <w:t>单项合同服务费在30万元以内按中标价执行，单项服务费用高于30万元的按最高30万元执行。单个项目计费不足1000元的，按1000元收取 。）</w:t>
      </w:r>
    </w:p>
    <w:p w14:paraId="5044F48E">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sz w:val="24"/>
          <w:szCs w:val="24"/>
        </w:rPr>
        <w:t>另外特别约定：①工程量清单结算审核的基本收费与按核减额收费不同时计取，按就高不就低的原则只计其一；②不计取钢筋抽样分析费用；③不计核增费用；④送审金额超过5000万元的项目，“皖价服〔2007〕86号”文件中的规定核减额费率按2.5%计算。</w:t>
      </w:r>
      <w:r>
        <w:rPr>
          <w:rFonts w:hint="eastAsia" w:ascii="宋体" w:hAnsi="宋体" w:cs="宋体"/>
          <w:sz w:val="24"/>
          <w:szCs w:val="24"/>
        </w:rPr>
        <w:fldChar w:fldCharType="begin"/>
      </w:r>
      <w:r>
        <w:rPr>
          <w:rFonts w:hint="eastAsia" w:ascii="宋体" w:hAnsi="宋体" w:cs="宋体"/>
          <w:sz w:val="24"/>
          <w:szCs w:val="24"/>
        </w:rPr>
        <w:instrText xml:space="preserve"> = 5 \* GB3 \* MERGEFORMAT </w:instrText>
      </w:r>
      <w:r>
        <w:rPr>
          <w:rFonts w:hint="eastAsia" w:ascii="宋体" w:hAnsi="宋体" w:cs="宋体"/>
          <w:sz w:val="24"/>
          <w:szCs w:val="24"/>
        </w:rPr>
        <w:fldChar w:fldCharType="separate"/>
      </w:r>
      <w:r>
        <w:rPr>
          <w:rFonts w:hint="eastAsia" w:ascii="宋体" w:hAnsi="宋体" w:cs="宋体"/>
          <w:sz w:val="24"/>
          <w:szCs w:val="24"/>
        </w:rPr>
        <w:t>⑤</w:t>
      </w:r>
      <w:r>
        <w:rPr>
          <w:rFonts w:hint="eastAsia" w:ascii="宋体" w:hAnsi="宋体" w:cs="宋体"/>
          <w:sz w:val="24"/>
          <w:szCs w:val="24"/>
        </w:rPr>
        <w:fldChar w:fldCharType="end"/>
      </w:r>
      <w:r>
        <w:rPr>
          <w:rFonts w:hint="eastAsia" w:ascii="宋体" w:hAnsi="宋体" w:cs="宋体"/>
          <w:sz w:val="24"/>
          <w:szCs w:val="24"/>
        </w:rPr>
        <w:t>、工程量清单和控制价复核单位费用按“皖价服〔2007〕86号”文件规定中的</w:t>
      </w:r>
      <w:r>
        <w:rPr>
          <w:rFonts w:hint="eastAsia" w:ascii="宋体" w:hAnsi="宋体" w:cs="宋体"/>
          <w:sz w:val="24"/>
          <w:szCs w:val="24"/>
          <w:lang w:val="zh-CN"/>
        </w:rPr>
        <w:t>控制价编制收费乘以入库中标费率乘以</w:t>
      </w:r>
      <w:r>
        <w:rPr>
          <w:rFonts w:hint="eastAsia" w:ascii="宋体" w:hAnsi="宋体" w:cs="宋体"/>
          <w:sz w:val="24"/>
          <w:szCs w:val="24"/>
        </w:rPr>
        <w:t>50%计取。</w:t>
      </w:r>
    </w:p>
    <w:p w14:paraId="2A9947B0">
      <w:pPr>
        <w:shd w:val="clear" w:color="auto" w:fill="FFFFFF"/>
        <w:snapToGrid w:val="0"/>
        <w:spacing w:line="500" w:lineRule="exact"/>
        <w:ind w:firstLine="360" w:firstLineChars="150"/>
        <w:rPr>
          <w:rFonts w:ascii="宋体" w:hAnsi="宋体" w:cs="宋体"/>
          <w:sz w:val="24"/>
          <w:szCs w:val="24"/>
        </w:rPr>
      </w:pPr>
      <w:r>
        <w:rPr>
          <w:rFonts w:hint="eastAsia" w:ascii="宋体" w:hAnsi="宋体" w:cs="宋体"/>
          <w:sz w:val="24"/>
          <w:szCs w:val="24"/>
        </w:rPr>
        <w:t>风险范围以外合同价款调整方法：无。</w:t>
      </w:r>
    </w:p>
    <w:p w14:paraId="4C754834">
      <w:pPr>
        <w:shd w:val="clear" w:color="auto" w:fill="FFFFFF"/>
        <w:snapToGrid w:val="0"/>
        <w:spacing w:line="500" w:lineRule="exact"/>
        <w:ind w:firstLine="360" w:firstLineChars="150"/>
        <w:rPr>
          <w:rFonts w:ascii="宋体" w:hAnsi="宋体" w:cs="宋体"/>
          <w:bCs/>
          <w:sz w:val="24"/>
          <w:szCs w:val="24"/>
          <w:shd w:val="clear" w:color="auto" w:fill="FFFFFF"/>
          <w:lang w:bidi="ar"/>
        </w:rPr>
      </w:pPr>
      <w:r>
        <w:rPr>
          <w:rFonts w:hint="eastAsia" w:ascii="宋体" w:hAnsi="宋体" w:cs="宋体"/>
          <w:bCs/>
          <w:sz w:val="24"/>
          <w:szCs w:val="24"/>
          <w:shd w:val="clear" w:color="auto" w:fill="FFFFFF"/>
          <w:lang w:bidi="ar"/>
        </w:rPr>
        <w:t>2、付款方式：根据具体项目实际情况在委托时另行约定。</w:t>
      </w:r>
    </w:p>
    <w:p w14:paraId="5F994D57">
      <w:pPr>
        <w:shd w:val="clear" w:color="auto" w:fill="FFFFFF"/>
        <w:snapToGrid w:val="0"/>
        <w:spacing w:line="500" w:lineRule="exact"/>
        <w:ind w:firstLine="360" w:firstLineChars="150"/>
        <w:rPr>
          <w:rFonts w:ascii="宋体" w:hAnsi="宋体" w:cs="宋体"/>
          <w:bCs/>
          <w:sz w:val="24"/>
          <w:szCs w:val="24"/>
          <w:shd w:val="clear" w:color="auto" w:fill="FFFFFF"/>
          <w:lang w:bidi="ar"/>
        </w:rPr>
      </w:pPr>
      <w:r>
        <w:rPr>
          <w:rFonts w:hint="eastAsia" w:ascii="宋体" w:hAnsi="宋体" w:cs="宋体"/>
          <w:bCs/>
          <w:sz w:val="24"/>
          <w:szCs w:val="24"/>
          <w:shd w:val="clear" w:color="auto" w:fill="FFFFFF"/>
          <w:lang w:bidi="ar"/>
        </w:rPr>
        <w:t>3、如单个项目因服务单位自身原因给甲方造成重大影响或经济损失的，立即清除出库，并</w:t>
      </w:r>
      <w:r>
        <w:rPr>
          <w:rFonts w:hint="eastAsia" w:ascii="宋体" w:hAnsi="宋体" w:cs="宋体"/>
          <w:bCs/>
          <w:sz w:val="24"/>
          <w:szCs w:val="24"/>
          <w:shd w:val="clear" w:color="auto" w:fill="FFFFFF"/>
          <w:lang w:eastAsia="zh-CN" w:bidi="ar"/>
        </w:rPr>
        <w:t>不予退还其履约保证金</w:t>
      </w:r>
      <w:r>
        <w:rPr>
          <w:rFonts w:hint="eastAsia" w:ascii="宋体" w:hAnsi="宋体" w:cs="宋体"/>
          <w:bCs/>
          <w:sz w:val="24"/>
          <w:szCs w:val="24"/>
          <w:shd w:val="clear" w:color="auto" w:fill="FFFFFF"/>
          <w:lang w:bidi="ar"/>
        </w:rPr>
        <w:t>，如上述不足以弥补甲方的损失，则甲方有权对不足部分予以追偿。</w:t>
      </w:r>
    </w:p>
    <w:p w14:paraId="7A7E7A0E">
      <w:pPr>
        <w:shd w:val="clear" w:color="auto" w:fill="FFFFFF"/>
        <w:snapToGrid w:val="0"/>
        <w:spacing w:line="500" w:lineRule="exact"/>
        <w:ind w:firstLine="361" w:firstLineChars="150"/>
        <w:rPr>
          <w:rFonts w:ascii="宋体" w:hAnsi="宋体" w:cs="宋体"/>
          <w:bCs/>
          <w:sz w:val="24"/>
          <w:szCs w:val="24"/>
        </w:rPr>
      </w:pPr>
      <w:r>
        <w:rPr>
          <w:rFonts w:hint="eastAsia" w:ascii="宋体" w:hAnsi="宋体" w:cs="宋体"/>
          <w:b/>
          <w:sz w:val="24"/>
          <w:szCs w:val="24"/>
        </w:rPr>
        <w:t>五、协议终止</w:t>
      </w:r>
    </w:p>
    <w:p w14:paraId="0DC1A1C4">
      <w:pPr>
        <w:shd w:val="clear" w:color="auto" w:fill="FFFFFF"/>
        <w:snapToGrid w:val="0"/>
        <w:spacing w:line="500" w:lineRule="exact"/>
        <w:ind w:firstLine="240" w:firstLineChars="100"/>
        <w:rPr>
          <w:rFonts w:ascii="宋体" w:hAnsi="宋体" w:cs="宋体"/>
          <w:bCs/>
          <w:sz w:val="24"/>
          <w:szCs w:val="24"/>
        </w:rPr>
      </w:pPr>
      <w:r>
        <w:rPr>
          <w:rFonts w:hint="eastAsia" w:ascii="宋体" w:hAnsi="宋体" w:cs="宋体"/>
          <w:bCs/>
          <w:sz w:val="24"/>
          <w:szCs w:val="24"/>
        </w:rPr>
        <w:t>发生以下情况，甲方将解除本协议，取消乙方入库资格：</w:t>
      </w:r>
    </w:p>
    <w:p w14:paraId="4026CB5F">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1、乙方未能按照招标文件承诺及招标文件要求提供相关服务的；</w:t>
      </w:r>
    </w:p>
    <w:p w14:paraId="1400C8DF">
      <w:pPr>
        <w:shd w:val="clear" w:color="auto" w:fill="FFFFFF"/>
        <w:snapToGrid w:val="0"/>
        <w:spacing w:line="500" w:lineRule="exact"/>
        <w:ind w:left="315" w:leftChars="150"/>
        <w:rPr>
          <w:rFonts w:ascii="宋体" w:hAnsi="宋体" w:cs="宋体"/>
          <w:bCs/>
          <w:sz w:val="24"/>
          <w:szCs w:val="24"/>
        </w:rPr>
      </w:pPr>
      <w:r>
        <w:rPr>
          <w:rFonts w:hint="eastAsia" w:ascii="宋体" w:hAnsi="宋体" w:cs="宋体"/>
          <w:bCs/>
          <w:sz w:val="24"/>
          <w:szCs w:val="24"/>
        </w:rPr>
        <w:t>2、乙方组织机构及相关配备人员变动，未及时告知甲方或企业不具备相应资格条件，变更人员不符合甲方要求的。</w:t>
      </w:r>
    </w:p>
    <w:p w14:paraId="6D8A12AE">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3、乙方投标时弄虚作假经查实的。</w:t>
      </w:r>
    </w:p>
    <w:p w14:paraId="5A513C75">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4、乙方有重大安全事故、严重不良记录行为的。</w:t>
      </w:r>
    </w:p>
    <w:p w14:paraId="390E809A">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5、有其他违法违纪行为的，不符合入库要求的。</w:t>
      </w:r>
    </w:p>
    <w:p w14:paraId="39BBAE31">
      <w:pPr>
        <w:shd w:val="clear" w:color="auto" w:fill="FFFFFF"/>
        <w:snapToGrid w:val="0"/>
        <w:spacing w:line="500" w:lineRule="exact"/>
        <w:ind w:firstLine="361" w:firstLineChars="150"/>
        <w:rPr>
          <w:rFonts w:ascii="宋体" w:hAnsi="宋体" w:cs="宋体"/>
          <w:b/>
          <w:sz w:val="24"/>
          <w:szCs w:val="24"/>
        </w:rPr>
      </w:pPr>
      <w:r>
        <w:rPr>
          <w:rFonts w:hint="eastAsia" w:ascii="宋体" w:hAnsi="宋体" w:cs="宋体"/>
          <w:b/>
          <w:sz w:val="24"/>
          <w:szCs w:val="24"/>
        </w:rPr>
        <w:t>六、违约责任</w:t>
      </w:r>
    </w:p>
    <w:p w14:paraId="57382A2E">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1、协议期内因乙方原因导致协议解除的，乙方三年内不得参与</w:t>
      </w:r>
      <w:r>
        <w:rPr>
          <w:rFonts w:hint="eastAsia" w:ascii="宋体" w:hAnsi="宋体" w:cs="宋体"/>
          <w:bCs/>
          <w:sz w:val="24"/>
          <w:szCs w:val="24"/>
          <w:lang w:val="zh-CN"/>
        </w:rPr>
        <w:t>阜阳投资发展集团有限公司</w:t>
      </w:r>
      <w:r>
        <w:rPr>
          <w:rFonts w:hint="eastAsia" w:ascii="宋体" w:hAnsi="宋体" w:cs="宋体"/>
          <w:bCs/>
          <w:sz w:val="24"/>
          <w:szCs w:val="24"/>
        </w:rPr>
        <w:t>任何项目活动。若给甲方造成损失的，甲方有权扣除履约保证金</w:t>
      </w:r>
      <w:r>
        <w:rPr>
          <w:rFonts w:hint="eastAsia" w:ascii="宋体" w:hAnsi="宋体" w:cs="宋体"/>
          <w:bCs/>
          <w:sz w:val="24"/>
          <w:szCs w:val="24"/>
          <w:lang w:val="en-US" w:eastAsia="zh-CN"/>
        </w:rPr>
        <w:t>并向乙方追究损失</w:t>
      </w:r>
      <w:r>
        <w:rPr>
          <w:rFonts w:hint="eastAsia" w:ascii="宋体" w:hAnsi="宋体" w:cs="宋体"/>
          <w:bCs/>
          <w:sz w:val="24"/>
          <w:szCs w:val="24"/>
        </w:rPr>
        <w:t>赔偿。</w:t>
      </w:r>
    </w:p>
    <w:p w14:paraId="0018B75D">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2、若任何一方发生违反本协议约定的行为，除本协议约定外，按《中华人民共和国民法典》规定承担违约责任。</w:t>
      </w:r>
    </w:p>
    <w:p w14:paraId="7AAD8A95">
      <w:pPr>
        <w:adjustRightInd w:val="0"/>
        <w:snapToGrid w:val="0"/>
        <w:spacing w:line="500" w:lineRule="exact"/>
        <w:ind w:right="-10" w:firstLine="241" w:firstLineChars="100"/>
        <w:rPr>
          <w:rFonts w:ascii="宋体" w:hAnsi="宋体" w:cs="宋体"/>
          <w:b/>
          <w:sz w:val="24"/>
          <w:szCs w:val="24"/>
        </w:rPr>
      </w:pPr>
      <w:r>
        <w:rPr>
          <w:rFonts w:hint="eastAsia" w:ascii="宋体" w:hAnsi="宋体" w:cs="宋体"/>
          <w:b/>
          <w:sz w:val="24"/>
          <w:szCs w:val="24"/>
        </w:rPr>
        <w:t>七.投标人必须承诺：</w:t>
      </w:r>
    </w:p>
    <w:p w14:paraId="45181BDF">
      <w:pPr>
        <w:adjustRightInd w:val="0"/>
        <w:snapToGrid w:val="0"/>
        <w:spacing w:line="500" w:lineRule="exact"/>
        <w:ind w:right="-10" w:firstLine="480" w:firstLineChars="200"/>
        <w:rPr>
          <w:rFonts w:ascii="宋体" w:hAnsi="宋体" w:cs="宋体"/>
          <w:sz w:val="24"/>
          <w:szCs w:val="24"/>
        </w:rPr>
      </w:pPr>
      <w:r>
        <w:rPr>
          <w:rFonts w:hint="eastAsia" w:ascii="宋体" w:hAnsi="宋体" w:cs="宋体"/>
          <w:sz w:val="24"/>
          <w:szCs w:val="24"/>
        </w:rPr>
        <w:t>1、所提供的资料均真实有效，如投标文件证明资料与现实不符，</w:t>
      </w:r>
      <w:r>
        <w:rPr>
          <w:rFonts w:hint="eastAsia" w:ascii="宋体" w:hAnsi="宋体" w:cs="宋体"/>
          <w:bCs/>
          <w:sz w:val="24"/>
          <w:szCs w:val="24"/>
          <w:lang w:val="zh-CN"/>
        </w:rPr>
        <w:t>阜阳投资发展集团有限公司</w:t>
      </w:r>
      <w:r>
        <w:rPr>
          <w:rFonts w:hint="eastAsia" w:ascii="宋体" w:hAnsi="宋体" w:cs="宋体"/>
          <w:sz w:val="24"/>
          <w:szCs w:val="24"/>
        </w:rPr>
        <w:t>可不予签订入库协议，并接受相关监督部门的处理。</w:t>
      </w:r>
    </w:p>
    <w:p w14:paraId="3A34E7C3">
      <w:pPr>
        <w:adjustRightInd w:val="0"/>
        <w:snapToGrid w:val="0"/>
        <w:spacing w:line="500" w:lineRule="exact"/>
        <w:ind w:right="-10" w:firstLine="480" w:firstLineChars="200"/>
        <w:rPr>
          <w:rFonts w:ascii="宋体" w:hAnsi="宋体" w:cs="宋体"/>
          <w:sz w:val="24"/>
          <w:szCs w:val="24"/>
        </w:rPr>
      </w:pPr>
      <w:r>
        <w:rPr>
          <w:rFonts w:hint="eastAsia" w:ascii="宋体" w:hAnsi="宋体" w:cs="宋体"/>
          <w:sz w:val="24"/>
          <w:szCs w:val="24"/>
        </w:rPr>
        <w:t>2、中介机构服务要求</w:t>
      </w:r>
    </w:p>
    <w:p w14:paraId="616DE2FC">
      <w:pPr>
        <w:adjustRightInd w:val="0"/>
        <w:snapToGrid w:val="0"/>
        <w:spacing w:line="500" w:lineRule="exact"/>
        <w:ind w:right="-10" w:firstLine="480" w:firstLineChars="200"/>
        <w:rPr>
          <w:rFonts w:ascii="宋体" w:hAnsi="宋体" w:cs="宋体"/>
          <w:sz w:val="24"/>
          <w:szCs w:val="24"/>
        </w:rPr>
      </w:pPr>
      <w:r>
        <w:rPr>
          <w:rFonts w:hint="eastAsia" w:ascii="宋体" w:hAnsi="宋体" w:cs="宋体"/>
          <w:sz w:val="24"/>
          <w:szCs w:val="24"/>
        </w:rPr>
        <w:t>中介机构应严格按照国家和省市有关规定，以及投标承诺，在其资质等级许可的范围内从事工作活动，并严格遵循独立、客观、公正、诚实信用的原则，不得损害社会公共利益和他人的合法权益。</w:t>
      </w:r>
    </w:p>
    <w:p w14:paraId="5EF34902">
      <w:pPr>
        <w:adjustRightInd w:val="0"/>
        <w:snapToGrid w:val="0"/>
        <w:spacing w:line="500" w:lineRule="exact"/>
        <w:ind w:right="-10" w:firstLine="480" w:firstLineChars="200"/>
        <w:rPr>
          <w:rFonts w:ascii="宋体" w:hAnsi="宋体" w:cs="宋体"/>
          <w:sz w:val="24"/>
          <w:szCs w:val="24"/>
        </w:rPr>
      </w:pPr>
      <w:r>
        <w:rPr>
          <w:rFonts w:hint="eastAsia" w:ascii="宋体" w:hAnsi="宋体" w:cs="宋体"/>
          <w:sz w:val="24"/>
          <w:szCs w:val="24"/>
        </w:rPr>
        <w:t>提供服务时，应调配所有资源，从项目前期准备、项目进度、投资、质量、人员投入等各个环节，确保工作的顺利完成，在约定的时间内完成工作事项。</w:t>
      </w:r>
    </w:p>
    <w:p w14:paraId="74810E7C">
      <w:pPr>
        <w:spacing w:line="500" w:lineRule="exact"/>
        <w:ind w:firstLine="480" w:firstLineChars="200"/>
        <w:rPr>
          <w:rFonts w:ascii="宋体" w:hAnsi="宋体" w:cs="宋体"/>
          <w:sz w:val="24"/>
          <w:szCs w:val="24"/>
        </w:rPr>
      </w:pPr>
      <w:r>
        <w:rPr>
          <w:rFonts w:hint="eastAsia" w:ascii="宋体" w:hAnsi="宋体" w:cs="宋体"/>
          <w:sz w:val="24"/>
          <w:szCs w:val="24"/>
        </w:rPr>
        <w:t>3、其他补充条款</w:t>
      </w:r>
    </w:p>
    <w:p w14:paraId="2F451BA9">
      <w:pPr>
        <w:spacing w:line="500" w:lineRule="exact"/>
        <w:ind w:firstLine="480" w:firstLineChars="200"/>
        <w:rPr>
          <w:rFonts w:ascii="宋体" w:hAnsi="宋体" w:cs="宋体"/>
          <w:sz w:val="24"/>
          <w:szCs w:val="24"/>
        </w:rPr>
      </w:pPr>
      <w:r>
        <w:rPr>
          <w:rFonts w:hint="eastAsia" w:ascii="宋体" w:hAnsi="宋体" w:cs="宋体"/>
          <w:sz w:val="24"/>
          <w:szCs w:val="24"/>
        </w:rPr>
        <w:t>入库及合同履约期间，入库单位因违法违纪、重大责任事故或被相关行业管理部门通报批评、整改、建议注销或处罚的，因不服从甲方指令或不能履约情节严重的，或发生严重服务质量、期限等问题的，我方有权立即终止合同，取消其入库资格，并保留对其进一步处理的权利，执行</w:t>
      </w:r>
      <w:r>
        <w:rPr>
          <w:rFonts w:hint="eastAsia" w:ascii="宋体" w:hAnsi="宋体" w:cs="宋体"/>
          <w:bCs/>
          <w:sz w:val="24"/>
          <w:szCs w:val="24"/>
          <w:lang w:val="zh-CN"/>
        </w:rPr>
        <w:t>阜阳投资发展集团有限公司</w:t>
      </w:r>
      <w:r>
        <w:rPr>
          <w:rFonts w:hint="eastAsia" w:ascii="宋体" w:hAnsi="宋体" w:cs="宋体"/>
          <w:sz w:val="24"/>
          <w:szCs w:val="24"/>
        </w:rPr>
        <w:t>相关其他管理规定。</w:t>
      </w:r>
    </w:p>
    <w:p w14:paraId="55E31F4F">
      <w:pPr>
        <w:shd w:val="clear" w:color="auto" w:fill="FFFFFF"/>
        <w:snapToGrid w:val="0"/>
        <w:spacing w:line="500" w:lineRule="exact"/>
        <w:ind w:firstLine="361" w:firstLineChars="150"/>
        <w:rPr>
          <w:rFonts w:ascii="宋体" w:hAnsi="宋体" w:cs="宋体"/>
          <w:b/>
          <w:sz w:val="24"/>
          <w:szCs w:val="24"/>
        </w:rPr>
      </w:pPr>
      <w:r>
        <w:rPr>
          <w:rFonts w:hint="eastAsia" w:ascii="宋体" w:hAnsi="宋体" w:cs="宋体"/>
          <w:b/>
          <w:sz w:val="24"/>
          <w:szCs w:val="24"/>
        </w:rPr>
        <w:t>八、争议解决办法</w:t>
      </w:r>
    </w:p>
    <w:p w14:paraId="71199B6A">
      <w:pPr>
        <w:shd w:val="clear" w:color="auto" w:fill="FFFFFF"/>
        <w:snapToGrid w:val="0"/>
        <w:spacing w:line="500" w:lineRule="exact"/>
        <w:ind w:firstLine="480" w:firstLineChars="200"/>
        <w:rPr>
          <w:rFonts w:ascii="宋体" w:hAnsi="宋体" w:cs="宋体"/>
          <w:bCs/>
          <w:sz w:val="24"/>
          <w:szCs w:val="24"/>
        </w:rPr>
      </w:pPr>
      <w:r>
        <w:rPr>
          <w:rFonts w:hint="eastAsia" w:ascii="宋体" w:hAnsi="宋体" w:cs="宋体"/>
          <w:bCs/>
          <w:sz w:val="24"/>
          <w:szCs w:val="24"/>
        </w:rPr>
        <w:t>本协议在履行过程中发生争议，双方应协商解决，协商不成的，可向甲方所在地法院起诉解决。</w:t>
      </w:r>
    </w:p>
    <w:p w14:paraId="76323BBF">
      <w:pPr>
        <w:shd w:val="clear" w:color="auto" w:fill="FFFFFF"/>
        <w:snapToGrid w:val="0"/>
        <w:spacing w:before="100" w:beforeAutospacing="1" w:after="100" w:afterAutospacing="1" w:line="360" w:lineRule="auto"/>
        <w:ind w:firstLine="241" w:firstLineChars="100"/>
        <w:rPr>
          <w:rFonts w:ascii="宋体" w:hAnsi="宋体" w:cs="宋体"/>
          <w:b/>
          <w:sz w:val="24"/>
          <w:szCs w:val="24"/>
        </w:rPr>
      </w:pPr>
      <w:r>
        <w:rPr>
          <w:rFonts w:hint="eastAsia" w:ascii="宋体" w:hAnsi="宋体" w:cs="宋体"/>
          <w:b/>
          <w:sz w:val="24"/>
          <w:szCs w:val="24"/>
        </w:rPr>
        <w:t>九、其他事项</w:t>
      </w:r>
    </w:p>
    <w:p w14:paraId="1F80B60C">
      <w:pPr>
        <w:tabs>
          <w:tab w:val="right" w:leader="dot" w:pos="8835"/>
        </w:tabs>
        <w:spacing w:before="120" w:after="120"/>
        <w:jc w:val="left"/>
        <w:rPr>
          <w:rFonts w:ascii="宋体" w:hAnsi="宋体" w:cs="宋体"/>
          <w:caps/>
          <w:sz w:val="24"/>
          <w:szCs w:val="24"/>
        </w:rPr>
      </w:pPr>
      <w:r>
        <w:rPr>
          <w:rFonts w:hint="eastAsia" w:ascii="宋体" w:hAnsi="宋体" w:cs="宋体"/>
          <w:caps/>
          <w:sz w:val="24"/>
          <w:szCs w:val="24"/>
        </w:rPr>
        <w:t>本合同仅作为入库单位的框架协议，具体单个项目合同根据甲方要求另行确定。</w:t>
      </w:r>
    </w:p>
    <w:p w14:paraId="17DB50D4">
      <w:pPr>
        <w:rPr>
          <w:szCs w:val="20"/>
        </w:rPr>
      </w:pPr>
    </w:p>
    <w:p w14:paraId="2C801404">
      <w:pPr>
        <w:shd w:val="clear" w:color="auto" w:fill="FFFFFF"/>
        <w:snapToGrid w:val="0"/>
        <w:spacing w:line="500" w:lineRule="exact"/>
        <w:ind w:firstLine="361" w:firstLineChars="150"/>
        <w:rPr>
          <w:rFonts w:ascii="宋体" w:hAnsi="宋体" w:cs="宋体"/>
          <w:b/>
          <w:sz w:val="24"/>
          <w:szCs w:val="24"/>
        </w:rPr>
      </w:pPr>
      <w:r>
        <w:rPr>
          <w:rFonts w:hint="eastAsia" w:ascii="宋体" w:hAnsi="宋体" w:cs="宋体"/>
          <w:b/>
          <w:sz w:val="24"/>
          <w:szCs w:val="24"/>
        </w:rPr>
        <w:t>十、合同生效和份数</w:t>
      </w:r>
    </w:p>
    <w:p w14:paraId="09A3E259">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1、本协议书由双方法人代表或授权代表人签字或盖章并提交履约保证金后生效。</w:t>
      </w:r>
    </w:p>
    <w:p w14:paraId="455C1329">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2、本合同一式</w:t>
      </w:r>
      <w:r>
        <w:rPr>
          <w:rFonts w:hint="eastAsia" w:ascii="宋体" w:hAnsi="宋体" w:cs="宋体"/>
          <w:bCs/>
          <w:sz w:val="24"/>
          <w:szCs w:val="24"/>
          <w:u w:val="single"/>
        </w:rPr>
        <w:t xml:space="preserve"> 肆 </w:t>
      </w:r>
      <w:r>
        <w:rPr>
          <w:rFonts w:hint="eastAsia" w:ascii="宋体" w:hAnsi="宋体" w:cs="宋体"/>
          <w:bCs/>
          <w:sz w:val="24"/>
          <w:szCs w:val="24"/>
        </w:rPr>
        <w:t>份，由甲乙双方各执</w:t>
      </w:r>
      <w:r>
        <w:rPr>
          <w:rFonts w:hint="eastAsia" w:ascii="宋体" w:hAnsi="宋体" w:cs="宋体"/>
          <w:bCs/>
          <w:sz w:val="24"/>
          <w:szCs w:val="24"/>
          <w:u w:val="single"/>
        </w:rPr>
        <w:t xml:space="preserve"> 贰 </w:t>
      </w:r>
      <w:r>
        <w:rPr>
          <w:rFonts w:hint="eastAsia" w:ascii="宋体" w:hAnsi="宋体" w:cs="宋体"/>
          <w:bCs/>
          <w:sz w:val="24"/>
          <w:szCs w:val="24"/>
        </w:rPr>
        <w:t>份。</w:t>
      </w:r>
    </w:p>
    <w:p w14:paraId="37240B39">
      <w:pPr>
        <w:shd w:val="clear" w:color="auto" w:fill="FFFFFF"/>
        <w:snapToGrid w:val="0"/>
        <w:spacing w:line="500" w:lineRule="exact"/>
        <w:ind w:firstLine="360" w:firstLineChars="150"/>
        <w:rPr>
          <w:rFonts w:ascii="宋体" w:hAnsi="宋体" w:cs="宋体"/>
          <w:bCs/>
          <w:sz w:val="24"/>
          <w:szCs w:val="24"/>
        </w:rPr>
      </w:pPr>
      <w:r>
        <w:rPr>
          <w:rFonts w:hint="eastAsia" w:ascii="宋体" w:hAnsi="宋体" w:cs="宋体"/>
          <w:bCs/>
          <w:sz w:val="24"/>
          <w:szCs w:val="24"/>
        </w:rPr>
        <w:t>甲方（盖章）：                     乙方（盖章）</w:t>
      </w:r>
    </w:p>
    <w:p w14:paraId="7823A893">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 xml:space="preserve">地  址：                           地  址： </w:t>
      </w:r>
    </w:p>
    <w:p w14:paraId="4BD0426A">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 xml:space="preserve">法定代表人：                      法定代表人： </w:t>
      </w:r>
    </w:p>
    <w:p w14:paraId="2E05623F">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 xml:space="preserve">委托代理人：                      委托代理人： </w:t>
      </w:r>
    </w:p>
    <w:p w14:paraId="5B744256">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 xml:space="preserve">电      话：                      电      话： </w:t>
      </w:r>
    </w:p>
    <w:p w14:paraId="3C36CE18">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传      真：                      传      真：</w:t>
      </w:r>
    </w:p>
    <w:p w14:paraId="45403197">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rPr>
        <w:t xml:space="preserve">开  户  行：                      开  户  行： </w:t>
      </w:r>
    </w:p>
    <w:p w14:paraId="07099979">
      <w:pPr>
        <w:shd w:val="clear" w:color="auto" w:fill="FFFFFF"/>
        <w:snapToGrid w:val="0"/>
        <w:spacing w:line="440" w:lineRule="exact"/>
        <w:ind w:firstLine="360" w:firstLineChars="150"/>
        <w:rPr>
          <w:rFonts w:ascii="宋体" w:hAnsi="宋体" w:cs="宋体"/>
          <w:bCs/>
          <w:sz w:val="24"/>
          <w:szCs w:val="24"/>
        </w:rPr>
      </w:pPr>
      <w:r>
        <w:rPr>
          <w:rFonts w:hint="eastAsia" w:ascii="宋体" w:hAnsi="宋体" w:cs="宋体"/>
          <w:bCs/>
          <w:sz w:val="24"/>
          <w:szCs w:val="24"/>
          <w:lang w:val="en-US" w:eastAsia="zh-CN"/>
        </w:rPr>
        <w:t>账</w:t>
      </w:r>
      <w:r>
        <w:rPr>
          <w:rFonts w:hint="eastAsia" w:ascii="宋体" w:hAnsi="宋体" w:cs="宋体"/>
          <w:bCs/>
          <w:sz w:val="24"/>
          <w:szCs w:val="24"/>
        </w:rPr>
        <w:t xml:space="preserve">      号：                      </w:t>
      </w:r>
      <w:r>
        <w:rPr>
          <w:rFonts w:hint="eastAsia" w:ascii="宋体" w:hAnsi="宋体" w:cs="宋体"/>
          <w:bCs/>
          <w:sz w:val="24"/>
          <w:szCs w:val="24"/>
          <w:lang w:val="en-US" w:eastAsia="zh-CN"/>
        </w:rPr>
        <w:t>账</w:t>
      </w:r>
      <w:r>
        <w:rPr>
          <w:rFonts w:hint="eastAsia" w:ascii="宋体" w:hAnsi="宋体" w:cs="宋体"/>
          <w:bCs/>
          <w:sz w:val="24"/>
          <w:szCs w:val="24"/>
        </w:rPr>
        <w:t xml:space="preserve">      号：</w:t>
      </w:r>
    </w:p>
    <w:p w14:paraId="38C54104">
      <w:pPr>
        <w:shd w:val="clear" w:color="auto" w:fill="FFFFFF"/>
        <w:snapToGrid w:val="0"/>
        <w:spacing w:line="440" w:lineRule="exact"/>
        <w:ind w:firstLine="360" w:firstLineChars="150"/>
        <w:rPr>
          <w:rFonts w:ascii="宋体" w:hAnsi="宋体" w:cs="宋体"/>
          <w:sz w:val="24"/>
          <w:szCs w:val="24"/>
        </w:rPr>
      </w:pPr>
      <w:r>
        <w:rPr>
          <w:rFonts w:hint="eastAsia" w:ascii="宋体" w:hAnsi="宋体" w:cs="宋体"/>
          <w:bCs/>
          <w:sz w:val="24"/>
          <w:szCs w:val="24"/>
        </w:rPr>
        <w:t>年   月    日                     年   月    日</w:t>
      </w:r>
    </w:p>
    <w:p w14:paraId="69945CFE">
      <w:pPr>
        <w:shd w:val="clear"/>
        <w:snapToGrid w:val="0"/>
        <w:spacing w:line="400" w:lineRule="atLeast"/>
        <w:ind w:firstLine="420" w:firstLineChars="200"/>
        <w:rPr>
          <w:rFonts w:ascii="宋体" w:cs="宋体"/>
          <w:color w:val="auto"/>
          <w:highlight w:val="none"/>
        </w:rPr>
      </w:pPr>
      <w:r>
        <w:rPr>
          <w:rFonts w:hint="eastAsia" w:ascii="宋体" w:cs="宋体"/>
          <w:color w:val="auto"/>
          <w:highlight w:val="none"/>
        </w:rPr>
        <w:t xml:space="preserve">     </w:t>
      </w:r>
    </w:p>
    <w:p w14:paraId="6BB95533">
      <w:pPr>
        <w:shd w:val="clear"/>
        <w:snapToGrid w:val="0"/>
        <w:spacing w:line="400" w:lineRule="atLeast"/>
        <w:ind w:firstLine="420" w:firstLineChars="200"/>
        <w:rPr>
          <w:rFonts w:ascii="宋体" w:cs="宋体"/>
          <w:color w:val="auto"/>
          <w:highlight w:val="none"/>
        </w:rPr>
      </w:pPr>
    </w:p>
    <w:p w14:paraId="5A0E4A8C">
      <w:pPr>
        <w:pStyle w:val="13"/>
        <w:shd w:val="clear"/>
        <w:rPr>
          <w:color w:val="auto"/>
          <w:highlight w:val="none"/>
        </w:rPr>
      </w:pPr>
    </w:p>
    <w:p w14:paraId="4505FFA1">
      <w:pPr>
        <w:pStyle w:val="13"/>
        <w:shd w:val="clear"/>
        <w:rPr>
          <w:color w:val="auto"/>
          <w:highlight w:val="none"/>
        </w:rPr>
      </w:pPr>
    </w:p>
    <w:p w14:paraId="19456FC4">
      <w:pPr>
        <w:pStyle w:val="12"/>
        <w:shd w:val="clear"/>
        <w:ind w:left="420" w:hanging="420"/>
        <w:rPr>
          <w:color w:val="auto"/>
          <w:highlight w:val="none"/>
        </w:rPr>
      </w:pPr>
    </w:p>
    <w:p w14:paraId="31E83B66">
      <w:pPr>
        <w:pStyle w:val="12"/>
        <w:shd w:val="clear"/>
        <w:ind w:left="420" w:hanging="420"/>
        <w:rPr>
          <w:color w:val="auto"/>
          <w:highlight w:val="none"/>
        </w:rPr>
      </w:pPr>
    </w:p>
    <w:p w14:paraId="5B7AE83A">
      <w:pPr>
        <w:pStyle w:val="12"/>
        <w:shd w:val="clear"/>
        <w:ind w:left="420" w:hanging="420"/>
        <w:rPr>
          <w:color w:val="auto"/>
          <w:highlight w:val="none"/>
        </w:rPr>
      </w:pPr>
    </w:p>
    <w:p w14:paraId="12091F8A">
      <w:pPr>
        <w:pStyle w:val="12"/>
        <w:shd w:val="clear"/>
        <w:ind w:left="420" w:hanging="420"/>
        <w:rPr>
          <w:color w:val="auto"/>
          <w:highlight w:val="none"/>
        </w:rPr>
      </w:pPr>
    </w:p>
    <w:p w14:paraId="7D3AF39C">
      <w:pPr>
        <w:pStyle w:val="12"/>
        <w:shd w:val="clear"/>
        <w:ind w:left="420" w:hanging="420"/>
        <w:rPr>
          <w:color w:val="auto"/>
          <w:highlight w:val="none"/>
        </w:rPr>
      </w:pPr>
    </w:p>
    <w:p w14:paraId="33EDFA6F">
      <w:pPr>
        <w:pStyle w:val="12"/>
        <w:shd w:val="clear"/>
        <w:ind w:left="420" w:hanging="420"/>
        <w:rPr>
          <w:color w:val="auto"/>
          <w:highlight w:val="none"/>
        </w:rPr>
      </w:pPr>
    </w:p>
    <w:p w14:paraId="2CFD6D97">
      <w:pPr>
        <w:pStyle w:val="12"/>
        <w:shd w:val="clear"/>
        <w:ind w:left="420" w:hanging="420"/>
        <w:rPr>
          <w:color w:val="auto"/>
          <w:highlight w:val="none"/>
        </w:rPr>
      </w:pPr>
    </w:p>
    <w:p w14:paraId="1D5DCF5C">
      <w:pPr>
        <w:pStyle w:val="12"/>
        <w:shd w:val="clear"/>
        <w:ind w:left="420" w:hanging="420"/>
        <w:rPr>
          <w:color w:val="auto"/>
          <w:highlight w:val="none"/>
        </w:rPr>
      </w:pPr>
    </w:p>
    <w:p w14:paraId="78989A0F">
      <w:pPr>
        <w:pStyle w:val="12"/>
        <w:shd w:val="clear"/>
        <w:ind w:left="420" w:hanging="420"/>
        <w:rPr>
          <w:color w:val="auto"/>
          <w:highlight w:val="none"/>
        </w:rPr>
      </w:pPr>
    </w:p>
    <w:p w14:paraId="75C419BB">
      <w:pPr>
        <w:pStyle w:val="12"/>
        <w:shd w:val="clear"/>
        <w:ind w:left="420" w:hanging="420"/>
        <w:rPr>
          <w:color w:val="auto"/>
          <w:highlight w:val="none"/>
        </w:rPr>
      </w:pPr>
    </w:p>
    <w:p w14:paraId="67DB6B2C">
      <w:pPr>
        <w:pStyle w:val="12"/>
        <w:shd w:val="clear"/>
        <w:ind w:left="420" w:hanging="420"/>
        <w:rPr>
          <w:color w:val="auto"/>
          <w:highlight w:val="none"/>
        </w:rPr>
      </w:pPr>
    </w:p>
    <w:p w14:paraId="7F8F4EF5">
      <w:pPr>
        <w:pStyle w:val="12"/>
        <w:shd w:val="clear"/>
        <w:ind w:left="420" w:hanging="420"/>
        <w:rPr>
          <w:color w:val="auto"/>
          <w:highlight w:val="none"/>
        </w:rPr>
      </w:pPr>
    </w:p>
    <w:p w14:paraId="652000B2">
      <w:pPr>
        <w:pStyle w:val="12"/>
        <w:shd w:val="clear"/>
        <w:ind w:left="420" w:hanging="420"/>
        <w:rPr>
          <w:color w:val="auto"/>
          <w:highlight w:val="none"/>
        </w:rPr>
      </w:pPr>
    </w:p>
    <w:p w14:paraId="3C32892B">
      <w:pPr>
        <w:pStyle w:val="12"/>
        <w:shd w:val="clear"/>
        <w:ind w:left="420" w:hanging="420"/>
        <w:rPr>
          <w:color w:val="auto"/>
          <w:highlight w:val="none"/>
        </w:rPr>
      </w:pPr>
    </w:p>
    <w:p w14:paraId="2EF4B246">
      <w:pPr>
        <w:pStyle w:val="12"/>
        <w:shd w:val="clear"/>
        <w:ind w:left="420" w:hanging="420"/>
        <w:rPr>
          <w:color w:val="auto"/>
          <w:highlight w:val="none"/>
        </w:rPr>
      </w:pPr>
    </w:p>
    <w:p w14:paraId="3532E80B">
      <w:pPr>
        <w:pStyle w:val="12"/>
        <w:shd w:val="clear"/>
        <w:ind w:left="420" w:hanging="420"/>
        <w:rPr>
          <w:color w:val="auto"/>
          <w:highlight w:val="none"/>
        </w:rPr>
      </w:pPr>
    </w:p>
    <w:p w14:paraId="140A6285">
      <w:pPr>
        <w:pStyle w:val="12"/>
        <w:shd w:val="clear"/>
        <w:ind w:left="420" w:hanging="420"/>
        <w:rPr>
          <w:color w:val="auto"/>
          <w:highlight w:val="none"/>
        </w:rPr>
      </w:pPr>
    </w:p>
    <w:p w14:paraId="3FC1D445">
      <w:pPr>
        <w:pStyle w:val="12"/>
        <w:shd w:val="clear"/>
        <w:ind w:left="420" w:hanging="420"/>
        <w:rPr>
          <w:color w:val="auto"/>
          <w:highlight w:val="none"/>
        </w:rPr>
      </w:pPr>
    </w:p>
    <w:p w14:paraId="237B5ED1">
      <w:pPr>
        <w:pStyle w:val="12"/>
        <w:shd w:val="clear"/>
        <w:ind w:left="420" w:hanging="420"/>
        <w:rPr>
          <w:color w:val="auto"/>
          <w:highlight w:val="none"/>
        </w:rPr>
      </w:pPr>
    </w:p>
    <w:p w14:paraId="2919CB67">
      <w:pPr>
        <w:pStyle w:val="12"/>
        <w:shd w:val="clear"/>
        <w:ind w:left="420" w:hanging="420"/>
        <w:rPr>
          <w:color w:val="auto"/>
          <w:highlight w:val="none"/>
        </w:rPr>
      </w:pPr>
    </w:p>
    <w:p w14:paraId="51F49568">
      <w:pPr>
        <w:pStyle w:val="12"/>
        <w:shd w:val="clear"/>
        <w:ind w:left="420" w:hanging="420"/>
        <w:rPr>
          <w:color w:val="auto"/>
          <w:highlight w:val="none"/>
        </w:rPr>
      </w:pPr>
    </w:p>
    <w:p w14:paraId="0C53C1FE">
      <w:pPr>
        <w:pStyle w:val="12"/>
        <w:shd w:val="clear"/>
        <w:ind w:left="420" w:hanging="420"/>
        <w:rPr>
          <w:color w:val="auto"/>
          <w:highlight w:val="none"/>
        </w:rPr>
      </w:pPr>
    </w:p>
    <w:p w14:paraId="631E7295">
      <w:pPr>
        <w:rPr>
          <w:rFonts w:hint="eastAsia" w:ascii="宋体" w:hAnsi="宋体" w:cs="宋体"/>
          <w:b/>
          <w:bCs/>
          <w:color w:val="auto"/>
          <w:kern w:val="44"/>
          <w:sz w:val="36"/>
          <w:szCs w:val="24"/>
          <w:highlight w:val="none"/>
        </w:rPr>
      </w:pPr>
      <w:bookmarkStart w:id="328" w:name="_Toc493081621"/>
      <w:r>
        <w:rPr>
          <w:rFonts w:hint="eastAsia" w:ascii="宋体" w:hAnsi="宋体" w:cs="宋体"/>
          <w:b/>
          <w:bCs/>
          <w:color w:val="auto"/>
          <w:kern w:val="44"/>
          <w:sz w:val="36"/>
          <w:szCs w:val="24"/>
          <w:highlight w:val="none"/>
        </w:rPr>
        <w:br w:type="page"/>
      </w:r>
    </w:p>
    <w:p w14:paraId="15333547">
      <w:pPr>
        <w:shd w:val="clear"/>
        <w:adjustRightInd w:val="0"/>
        <w:snapToGrid w:val="0"/>
        <w:spacing w:line="360" w:lineRule="auto"/>
        <w:jc w:val="center"/>
        <w:outlineLvl w:val="0"/>
        <w:rPr>
          <w:rFonts w:ascii="宋体" w:hAnsi="宋体" w:cs="宋体"/>
          <w:b/>
          <w:bCs/>
          <w:color w:val="auto"/>
          <w:kern w:val="44"/>
          <w:sz w:val="36"/>
          <w:szCs w:val="24"/>
          <w:highlight w:val="none"/>
        </w:rPr>
      </w:pPr>
      <w:r>
        <w:rPr>
          <w:rFonts w:hint="eastAsia" w:ascii="宋体" w:hAnsi="宋体" w:cs="宋体"/>
          <w:b/>
          <w:bCs/>
          <w:color w:val="auto"/>
          <w:kern w:val="44"/>
          <w:sz w:val="36"/>
          <w:szCs w:val="24"/>
          <w:highlight w:val="none"/>
        </w:rPr>
        <w:t>第六章 投标文件格式</w:t>
      </w:r>
      <w:bookmarkEnd w:id="307"/>
      <w:bookmarkEnd w:id="327"/>
      <w:bookmarkEnd w:id="328"/>
    </w:p>
    <w:p w14:paraId="74FB9C1C">
      <w:pPr>
        <w:shd w:val="clear"/>
        <w:autoSpaceDE w:val="0"/>
        <w:autoSpaceDN w:val="0"/>
        <w:adjustRightInd w:val="0"/>
        <w:spacing w:before="124"/>
        <w:jc w:val="center"/>
        <w:rPr>
          <w:rFonts w:ascii="宋体" w:hAnsi="宋体" w:cs="宋体"/>
          <w:color w:val="auto"/>
          <w:kern w:val="0"/>
          <w:sz w:val="44"/>
          <w:szCs w:val="44"/>
          <w:highlight w:val="none"/>
        </w:rPr>
      </w:pPr>
      <w:bookmarkStart w:id="329" w:name="_Toc493081622"/>
      <w:bookmarkStart w:id="330" w:name="_Toc153421225"/>
      <w:bookmarkStart w:id="331" w:name="_Toc272486045"/>
      <w:bookmarkStart w:id="332" w:name="_Toc465179936"/>
      <w:bookmarkStart w:id="333" w:name="_Toc434829636"/>
      <w:bookmarkStart w:id="334" w:name="_Toc162490435"/>
      <w:r>
        <w:rPr>
          <w:rFonts w:hint="eastAsia" w:ascii="宋体" w:hAnsi="宋体" w:cs="宋体"/>
          <w:color w:val="auto"/>
          <w:kern w:val="0"/>
          <w:sz w:val="44"/>
          <w:szCs w:val="44"/>
          <w:highlight w:val="none"/>
        </w:rPr>
        <w:t>（项目名称）</w:t>
      </w:r>
    </w:p>
    <w:p w14:paraId="1E540396">
      <w:pPr>
        <w:shd w:val="clear"/>
        <w:autoSpaceDE w:val="0"/>
        <w:autoSpaceDN w:val="0"/>
        <w:adjustRightInd w:val="0"/>
        <w:spacing w:line="200" w:lineRule="exact"/>
        <w:jc w:val="center"/>
        <w:rPr>
          <w:rFonts w:ascii="宋体" w:hAnsi="宋体" w:cs="宋体"/>
          <w:color w:val="auto"/>
          <w:kern w:val="0"/>
          <w:sz w:val="44"/>
          <w:szCs w:val="44"/>
          <w:highlight w:val="none"/>
        </w:rPr>
      </w:pPr>
    </w:p>
    <w:p w14:paraId="108B548C">
      <w:pPr>
        <w:shd w:val="clear"/>
        <w:autoSpaceDE w:val="0"/>
        <w:autoSpaceDN w:val="0"/>
        <w:adjustRightInd w:val="0"/>
        <w:spacing w:line="200" w:lineRule="exact"/>
        <w:jc w:val="center"/>
        <w:rPr>
          <w:rFonts w:ascii="宋体" w:hAnsi="宋体" w:cs="宋体"/>
          <w:color w:val="auto"/>
          <w:kern w:val="0"/>
          <w:sz w:val="44"/>
          <w:szCs w:val="44"/>
          <w:highlight w:val="none"/>
        </w:rPr>
      </w:pPr>
    </w:p>
    <w:p w14:paraId="466BDB8C">
      <w:pPr>
        <w:shd w:val="clear"/>
        <w:autoSpaceDE w:val="0"/>
        <w:autoSpaceDN w:val="0"/>
        <w:adjustRightInd w:val="0"/>
        <w:spacing w:before="49"/>
        <w:jc w:val="center"/>
        <w:rPr>
          <w:rFonts w:ascii="宋体" w:hAnsi="宋体" w:cs="宋体"/>
          <w:color w:val="auto"/>
          <w:kern w:val="0"/>
          <w:sz w:val="44"/>
          <w:szCs w:val="44"/>
          <w:highlight w:val="none"/>
        </w:rPr>
      </w:pPr>
    </w:p>
    <w:p w14:paraId="7AC68447">
      <w:pPr>
        <w:shd w:val="clear"/>
        <w:autoSpaceDE w:val="0"/>
        <w:autoSpaceDN w:val="0"/>
        <w:adjustRightInd w:val="0"/>
        <w:spacing w:before="49"/>
        <w:jc w:val="center"/>
        <w:rPr>
          <w:rFonts w:ascii="宋体" w:hAnsi="宋体" w:cs="宋体"/>
          <w:color w:val="auto"/>
          <w:kern w:val="0"/>
          <w:sz w:val="44"/>
          <w:szCs w:val="44"/>
          <w:highlight w:val="none"/>
        </w:rPr>
      </w:pPr>
    </w:p>
    <w:p w14:paraId="07EE03C1">
      <w:pPr>
        <w:shd w:val="clear"/>
        <w:autoSpaceDE w:val="0"/>
        <w:autoSpaceDN w:val="0"/>
        <w:adjustRightInd w:val="0"/>
        <w:spacing w:before="49"/>
        <w:jc w:val="center"/>
        <w:rPr>
          <w:rFonts w:ascii="宋体" w:hAnsi="宋体" w:cs="宋体"/>
          <w:color w:val="auto"/>
          <w:kern w:val="0"/>
          <w:sz w:val="44"/>
          <w:szCs w:val="44"/>
          <w:highlight w:val="none"/>
        </w:rPr>
      </w:pPr>
      <w:r>
        <w:rPr>
          <w:rFonts w:hint="eastAsia" w:ascii="宋体" w:hAnsi="宋体" w:cs="宋体"/>
          <w:color w:val="auto"/>
          <w:kern w:val="0"/>
          <w:sz w:val="44"/>
          <w:szCs w:val="44"/>
          <w:highlight w:val="none"/>
        </w:rPr>
        <w:t>投 标 文 件</w:t>
      </w:r>
    </w:p>
    <w:p w14:paraId="6906778B">
      <w:pPr>
        <w:shd w:val="clear"/>
        <w:autoSpaceDE w:val="0"/>
        <w:autoSpaceDN w:val="0"/>
        <w:adjustRightInd w:val="0"/>
        <w:spacing w:line="200" w:lineRule="exact"/>
        <w:jc w:val="center"/>
        <w:rPr>
          <w:rFonts w:ascii="宋体" w:hAnsi="宋体" w:cs="宋体"/>
          <w:b/>
          <w:bCs/>
          <w:color w:val="auto"/>
          <w:kern w:val="0"/>
          <w:sz w:val="32"/>
          <w:szCs w:val="32"/>
          <w:highlight w:val="none"/>
        </w:rPr>
      </w:pPr>
    </w:p>
    <w:p w14:paraId="335758E9">
      <w:pPr>
        <w:shd w:val="clear"/>
        <w:autoSpaceDE w:val="0"/>
        <w:autoSpaceDN w:val="0"/>
        <w:adjustRightInd w:val="0"/>
        <w:spacing w:line="200" w:lineRule="exact"/>
        <w:jc w:val="left"/>
        <w:rPr>
          <w:rFonts w:ascii="宋体" w:hAnsi="宋体" w:cs="宋体"/>
          <w:color w:val="auto"/>
          <w:kern w:val="0"/>
          <w:sz w:val="24"/>
          <w:szCs w:val="24"/>
          <w:highlight w:val="none"/>
        </w:rPr>
      </w:pPr>
    </w:p>
    <w:p w14:paraId="49436ADA">
      <w:pPr>
        <w:shd w:val="clear"/>
        <w:autoSpaceDE w:val="0"/>
        <w:autoSpaceDN w:val="0"/>
        <w:adjustRightInd w:val="0"/>
        <w:spacing w:line="200" w:lineRule="exact"/>
        <w:jc w:val="left"/>
        <w:rPr>
          <w:rFonts w:ascii="宋体" w:hAnsi="宋体" w:cs="宋体"/>
          <w:color w:val="auto"/>
          <w:kern w:val="0"/>
          <w:sz w:val="24"/>
          <w:szCs w:val="24"/>
          <w:highlight w:val="none"/>
        </w:rPr>
      </w:pPr>
    </w:p>
    <w:p w14:paraId="0CFB69E2">
      <w:pPr>
        <w:shd w:val="clear"/>
        <w:autoSpaceDE w:val="0"/>
        <w:autoSpaceDN w:val="0"/>
        <w:adjustRightInd w:val="0"/>
        <w:spacing w:line="200" w:lineRule="exact"/>
        <w:jc w:val="left"/>
        <w:rPr>
          <w:rFonts w:ascii="宋体" w:hAnsi="宋体" w:cs="宋体"/>
          <w:color w:val="auto"/>
          <w:kern w:val="0"/>
          <w:sz w:val="24"/>
          <w:szCs w:val="24"/>
          <w:highlight w:val="none"/>
        </w:rPr>
      </w:pPr>
    </w:p>
    <w:p w14:paraId="5056CBE2">
      <w:pPr>
        <w:shd w:val="clear"/>
        <w:autoSpaceDE w:val="0"/>
        <w:autoSpaceDN w:val="0"/>
        <w:adjustRightInd w:val="0"/>
        <w:spacing w:line="200" w:lineRule="exact"/>
        <w:jc w:val="left"/>
        <w:rPr>
          <w:rFonts w:ascii="宋体" w:hAnsi="宋体" w:cs="宋体"/>
          <w:color w:val="auto"/>
          <w:kern w:val="0"/>
          <w:sz w:val="24"/>
          <w:szCs w:val="24"/>
          <w:highlight w:val="none"/>
        </w:rPr>
      </w:pPr>
    </w:p>
    <w:p w14:paraId="024DA9CC">
      <w:pPr>
        <w:shd w:val="clear"/>
        <w:autoSpaceDE w:val="0"/>
        <w:autoSpaceDN w:val="0"/>
        <w:adjustRightInd w:val="0"/>
        <w:spacing w:line="200" w:lineRule="exact"/>
        <w:jc w:val="left"/>
        <w:rPr>
          <w:rFonts w:ascii="宋体" w:hAnsi="宋体" w:cs="宋体"/>
          <w:color w:val="auto"/>
          <w:kern w:val="0"/>
          <w:sz w:val="24"/>
          <w:szCs w:val="24"/>
          <w:highlight w:val="none"/>
        </w:rPr>
      </w:pPr>
    </w:p>
    <w:p w14:paraId="5BB5B902">
      <w:pPr>
        <w:shd w:val="clear"/>
        <w:autoSpaceDE w:val="0"/>
        <w:autoSpaceDN w:val="0"/>
        <w:adjustRightInd w:val="0"/>
        <w:spacing w:line="200" w:lineRule="exact"/>
        <w:jc w:val="left"/>
        <w:rPr>
          <w:rFonts w:ascii="宋体" w:hAnsi="宋体" w:cs="宋体"/>
          <w:color w:val="auto"/>
          <w:kern w:val="0"/>
          <w:sz w:val="24"/>
          <w:szCs w:val="24"/>
          <w:highlight w:val="none"/>
        </w:rPr>
      </w:pPr>
    </w:p>
    <w:p w14:paraId="36DAA76F">
      <w:pPr>
        <w:shd w:val="clear"/>
        <w:autoSpaceDE w:val="0"/>
        <w:autoSpaceDN w:val="0"/>
        <w:adjustRightInd w:val="0"/>
        <w:spacing w:line="200" w:lineRule="exact"/>
        <w:jc w:val="left"/>
        <w:rPr>
          <w:rFonts w:ascii="宋体" w:hAnsi="宋体" w:cs="宋体"/>
          <w:color w:val="auto"/>
          <w:kern w:val="0"/>
          <w:sz w:val="24"/>
          <w:szCs w:val="24"/>
          <w:highlight w:val="none"/>
        </w:rPr>
      </w:pPr>
    </w:p>
    <w:p w14:paraId="0F8B40B9">
      <w:pPr>
        <w:shd w:val="clear"/>
        <w:autoSpaceDE w:val="0"/>
        <w:autoSpaceDN w:val="0"/>
        <w:adjustRightInd w:val="0"/>
        <w:spacing w:line="200" w:lineRule="exact"/>
        <w:jc w:val="left"/>
        <w:rPr>
          <w:rFonts w:ascii="宋体" w:hAnsi="宋体" w:cs="宋体"/>
          <w:color w:val="auto"/>
          <w:kern w:val="0"/>
          <w:sz w:val="24"/>
          <w:szCs w:val="24"/>
          <w:highlight w:val="none"/>
        </w:rPr>
      </w:pPr>
    </w:p>
    <w:p w14:paraId="7D1F37B4">
      <w:pPr>
        <w:shd w:val="clear"/>
        <w:autoSpaceDE w:val="0"/>
        <w:autoSpaceDN w:val="0"/>
        <w:adjustRightInd w:val="0"/>
        <w:spacing w:line="200" w:lineRule="exact"/>
        <w:jc w:val="left"/>
        <w:rPr>
          <w:rFonts w:ascii="宋体" w:hAnsi="宋体" w:cs="宋体"/>
          <w:color w:val="auto"/>
          <w:kern w:val="0"/>
          <w:sz w:val="24"/>
          <w:szCs w:val="24"/>
          <w:highlight w:val="none"/>
        </w:rPr>
      </w:pPr>
    </w:p>
    <w:p w14:paraId="01709DF6">
      <w:pPr>
        <w:shd w:val="clear"/>
        <w:autoSpaceDE w:val="0"/>
        <w:autoSpaceDN w:val="0"/>
        <w:adjustRightInd w:val="0"/>
        <w:spacing w:line="200" w:lineRule="exact"/>
        <w:jc w:val="left"/>
        <w:rPr>
          <w:rFonts w:ascii="宋体" w:hAnsi="宋体" w:cs="宋体"/>
          <w:color w:val="auto"/>
          <w:kern w:val="0"/>
          <w:sz w:val="24"/>
          <w:szCs w:val="24"/>
          <w:highlight w:val="none"/>
        </w:rPr>
      </w:pPr>
    </w:p>
    <w:p w14:paraId="2200A0E0">
      <w:pPr>
        <w:shd w:val="clear"/>
        <w:autoSpaceDE w:val="0"/>
        <w:autoSpaceDN w:val="0"/>
        <w:adjustRightInd w:val="0"/>
        <w:spacing w:line="200" w:lineRule="exact"/>
        <w:jc w:val="left"/>
        <w:rPr>
          <w:rFonts w:ascii="宋体" w:hAnsi="宋体" w:cs="宋体"/>
          <w:color w:val="auto"/>
          <w:kern w:val="0"/>
          <w:sz w:val="24"/>
          <w:szCs w:val="24"/>
          <w:highlight w:val="none"/>
        </w:rPr>
      </w:pPr>
    </w:p>
    <w:p w14:paraId="40A92488">
      <w:pPr>
        <w:shd w:val="clear"/>
        <w:autoSpaceDE w:val="0"/>
        <w:autoSpaceDN w:val="0"/>
        <w:adjustRightInd w:val="0"/>
        <w:spacing w:line="200" w:lineRule="exact"/>
        <w:jc w:val="left"/>
        <w:rPr>
          <w:rFonts w:ascii="宋体" w:hAnsi="宋体" w:cs="宋体"/>
          <w:color w:val="auto"/>
          <w:kern w:val="0"/>
          <w:sz w:val="24"/>
          <w:szCs w:val="24"/>
          <w:highlight w:val="none"/>
        </w:rPr>
      </w:pPr>
    </w:p>
    <w:p w14:paraId="4504E416">
      <w:pPr>
        <w:shd w:val="clear"/>
        <w:autoSpaceDE w:val="0"/>
        <w:autoSpaceDN w:val="0"/>
        <w:adjustRightInd w:val="0"/>
        <w:spacing w:line="200" w:lineRule="exact"/>
        <w:jc w:val="left"/>
        <w:rPr>
          <w:rFonts w:ascii="宋体" w:hAnsi="宋体" w:cs="宋体"/>
          <w:color w:val="auto"/>
          <w:kern w:val="0"/>
          <w:sz w:val="24"/>
          <w:szCs w:val="24"/>
          <w:highlight w:val="none"/>
        </w:rPr>
      </w:pPr>
    </w:p>
    <w:p w14:paraId="684B6108">
      <w:pPr>
        <w:shd w:val="clear"/>
        <w:autoSpaceDE w:val="0"/>
        <w:autoSpaceDN w:val="0"/>
        <w:adjustRightInd w:val="0"/>
        <w:spacing w:line="200" w:lineRule="exact"/>
        <w:jc w:val="left"/>
        <w:rPr>
          <w:rFonts w:ascii="宋体" w:hAnsi="宋体" w:cs="宋体"/>
          <w:color w:val="auto"/>
          <w:kern w:val="0"/>
          <w:sz w:val="32"/>
          <w:szCs w:val="32"/>
          <w:highlight w:val="none"/>
        </w:rPr>
      </w:pPr>
    </w:p>
    <w:p w14:paraId="36B4A555">
      <w:pPr>
        <w:shd w:val="clear"/>
        <w:autoSpaceDE w:val="0"/>
        <w:autoSpaceDN w:val="0"/>
        <w:adjustRightInd w:val="0"/>
        <w:spacing w:before="95"/>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投标人 ：</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（盖单位章）</w:t>
      </w:r>
    </w:p>
    <w:p w14:paraId="484B395E">
      <w:pPr>
        <w:shd w:val="clear"/>
        <w:autoSpaceDE w:val="0"/>
        <w:autoSpaceDN w:val="0"/>
        <w:adjustRightInd w:val="0"/>
        <w:spacing w:before="95"/>
        <w:rPr>
          <w:rFonts w:ascii="宋体" w:hAnsi="宋体" w:cs="宋体"/>
          <w:color w:val="auto"/>
          <w:kern w:val="0"/>
          <w:sz w:val="32"/>
          <w:szCs w:val="32"/>
          <w:highlight w:val="none"/>
        </w:rPr>
      </w:pPr>
    </w:p>
    <w:p w14:paraId="532D76DA">
      <w:pPr>
        <w:shd w:val="clear"/>
        <w:autoSpaceDE w:val="0"/>
        <w:autoSpaceDN w:val="0"/>
        <w:adjustRightInd w:val="0"/>
        <w:spacing w:before="202"/>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法定代表人或其委托代理人：</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（签字）</w:t>
      </w:r>
    </w:p>
    <w:p w14:paraId="1624C37B">
      <w:pPr>
        <w:shd w:val="clear"/>
        <w:autoSpaceDE w:val="0"/>
        <w:autoSpaceDN w:val="0"/>
        <w:adjustRightInd w:val="0"/>
        <w:spacing w:line="200" w:lineRule="exact"/>
        <w:jc w:val="left"/>
        <w:rPr>
          <w:rFonts w:ascii="宋体" w:hAnsi="宋体" w:cs="宋体"/>
          <w:color w:val="auto"/>
          <w:kern w:val="0"/>
          <w:sz w:val="32"/>
          <w:szCs w:val="32"/>
          <w:highlight w:val="none"/>
        </w:rPr>
      </w:pPr>
    </w:p>
    <w:p w14:paraId="099043A3">
      <w:pPr>
        <w:shd w:val="clear"/>
        <w:autoSpaceDE w:val="0"/>
        <w:autoSpaceDN w:val="0"/>
        <w:adjustRightInd w:val="0"/>
        <w:spacing w:line="200" w:lineRule="exact"/>
        <w:jc w:val="left"/>
        <w:rPr>
          <w:rFonts w:ascii="宋体" w:hAnsi="宋体" w:cs="宋体"/>
          <w:color w:val="auto"/>
          <w:kern w:val="0"/>
          <w:sz w:val="32"/>
          <w:szCs w:val="32"/>
          <w:highlight w:val="none"/>
        </w:rPr>
      </w:pPr>
    </w:p>
    <w:p w14:paraId="12B4A094">
      <w:pPr>
        <w:shd w:val="clear"/>
        <w:autoSpaceDE w:val="0"/>
        <w:autoSpaceDN w:val="0"/>
        <w:adjustRightInd w:val="0"/>
        <w:spacing w:before="165"/>
        <w:ind w:left="2410"/>
        <w:rPr>
          <w:rFonts w:ascii="宋体" w:hAnsi="宋体" w:cs="宋体"/>
          <w:color w:val="auto"/>
          <w:kern w:val="0"/>
          <w:sz w:val="32"/>
          <w:szCs w:val="32"/>
          <w:highlight w:val="none"/>
        </w:rPr>
      </w:pP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月</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日</w:t>
      </w:r>
    </w:p>
    <w:p w14:paraId="48587DA3">
      <w:pPr>
        <w:shd w:val="clear"/>
        <w:adjustRightInd w:val="0"/>
        <w:snapToGrid w:val="0"/>
        <w:spacing w:line="360" w:lineRule="auto"/>
        <w:rPr>
          <w:rFonts w:ascii="宋体" w:hAnsi="宋体" w:cs="宋体"/>
          <w:b/>
          <w:color w:val="auto"/>
          <w:sz w:val="28"/>
          <w:szCs w:val="28"/>
          <w:highlight w:val="none"/>
        </w:rPr>
      </w:pPr>
    </w:p>
    <w:p w14:paraId="2D926C4B">
      <w:pPr>
        <w:pStyle w:val="13"/>
        <w:shd w:val="clear"/>
        <w:rPr>
          <w:color w:val="auto"/>
          <w:highlight w:val="none"/>
        </w:rPr>
      </w:pPr>
    </w:p>
    <w:p w14:paraId="6C8649AC">
      <w:pPr>
        <w:pStyle w:val="12"/>
        <w:shd w:val="clear"/>
        <w:ind w:left="562" w:hanging="562"/>
        <w:rPr>
          <w:rFonts w:ascii="宋体" w:hAnsi="宋体" w:cs="宋体"/>
          <w:b/>
          <w:color w:val="auto"/>
          <w:sz w:val="28"/>
          <w:szCs w:val="28"/>
          <w:highlight w:val="none"/>
        </w:rPr>
      </w:pPr>
    </w:p>
    <w:bookmarkEnd w:id="329"/>
    <w:bookmarkEnd w:id="330"/>
    <w:bookmarkEnd w:id="331"/>
    <w:bookmarkEnd w:id="332"/>
    <w:bookmarkEnd w:id="333"/>
    <w:bookmarkEnd w:id="334"/>
    <w:p w14:paraId="48A42950">
      <w:pPr>
        <w:shd w:val="clear"/>
        <w:spacing w:line="360" w:lineRule="auto"/>
        <w:jc w:val="center"/>
        <w:rPr>
          <w:rFonts w:hint="eastAsia" w:ascii="宋体" w:hAnsi="宋体" w:cs="宋体"/>
          <w:b/>
          <w:bCs/>
          <w:color w:val="auto"/>
          <w:kern w:val="0"/>
          <w:highlight w:val="none"/>
        </w:rPr>
      </w:pPr>
      <w:bookmarkStart w:id="335" w:name="_Toc323739436"/>
      <w:bookmarkStart w:id="336" w:name="_Toc197934561"/>
      <w:bookmarkStart w:id="337" w:name="_Toc295898950"/>
    </w:p>
    <w:p w14:paraId="71E645DC">
      <w:pPr>
        <w:shd w:val="clear"/>
        <w:spacing w:line="360" w:lineRule="auto"/>
        <w:jc w:val="center"/>
        <w:rPr>
          <w:rFonts w:hint="eastAsia" w:ascii="宋体" w:hAnsi="宋体" w:cs="宋体"/>
          <w:b/>
          <w:bCs/>
          <w:color w:val="auto"/>
          <w:kern w:val="0"/>
          <w:highlight w:val="none"/>
        </w:rPr>
      </w:pPr>
    </w:p>
    <w:p w14:paraId="198867FB">
      <w:pPr>
        <w:shd w:val="clear"/>
        <w:spacing w:line="360" w:lineRule="auto"/>
        <w:jc w:val="center"/>
        <w:rPr>
          <w:rFonts w:hint="eastAsia" w:ascii="宋体" w:hAnsi="宋体" w:cs="宋体"/>
          <w:b/>
          <w:bCs/>
          <w:color w:val="auto"/>
          <w:kern w:val="0"/>
          <w:highlight w:val="none"/>
        </w:rPr>
      </w:pPr>
    </w:p>
    <w:p w14:paraId="72C1B591">
      <w:pPr>
        <w:shd w:val="clear"/>
        <w:spacing w:line="360" w:lineRule="auto"/>
        <w:jc w:val="center"/>
        <w:rPr>
          <w:rFonts w:hint="eastAsia" w:ascii="宋体" w:hAnsi="宋体" w:cs="宋体"/>
          <w:b/>
          <w:bCs/>
          <w:color w:val="auto"/>
          <w:kern w:val="0"/>
          <w:highlight w:val="none"/>
        </w:rPr>
      </w:pPr>
    </w:p>
    <w:p w14:paraId="003F64D2">
      <w:pPr>
        <w:shd w:val="clear"/>
        <w:spacing w:line="360" w:lineRule="auto"/>
        <w:jc w:val="center"/>
        <w:rPr>
          <w:rFonts w:ascii="宋体" w:hAnsi="宋体" w:cs="宋体"/>
          <w:b/>
          <w:bCs/>
          <w:color w:val="auto"/>
          <w:kern w:val="0"/>
          <w:highlight w:val="none"/>
        </w:rPr>
      </w:pPr>
      <w:r>
        <w:rPr>
          <w:rFonts w:hint="eastAsia" w:ascii="宋体" w:hAnsi="宋体" w:cs="宋体"/>
          <w:b/>
          <w:bCs/>
          <w:color w:val="auto"/>
          <w:kern w:val="0"/>
          <w:highlight w:val="none"/>
        </w:rPr>
        <w:t>一、投标函及投标函附录</w:t>
      </w:r>
    </w:p>
    <w:p w14:paraId="1D641FE5">
      <w:pPr>
        <w:widowControl/>
        <w:shd w:val="clear"/>
        <w:spacing w:line="360" w:lineRule="auto"/>
        <w:jc w:val="center"/>
        <w:rPr>
          <w:rFonts w:ascii="宋体" w:hAnsi="宋体" w:cs="宋体"/>
          <w:b/>
          <w:bCs/>
          <w:color w:val="auto"/>
          <w:highlight w:val="none"/>
        </w:rPr>
      </w:pPr>
      <w:bookmarkStart w:id="338" w:name="_Toc487461433"/>
      <w:bookmarkStart w:id="339" w:name="_Hlk450185103"/>
      <w:r>
        <w:rPr>
          <w:rFonts w:hint="eastAsia" w:ascii="宋体" w:hAnsi="宋体" w:cs="宋体"/>
          <w:b/>
          <w:bCs/>
          <w:color w:val="auto"/>
          <w:highlight w:val="none"/>
        </w:rPr>
        <w:t>投 标 函</w:t>
      </w:r>
      <w:bookmarkEnd w:id="338"/>
    </w:p>
    <w:p w14:paraId="2F780211">
      <w:pPr>
        <w:shd w:val="clear"/>
        <w:spacing w:line="360" w:lineRule="auto"/>
        <w:rPr>
          <w:rFonts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xml:space="preserve">                     </w:t>
      </w:r>
      <w:r>
        <w:rPr>
          <w:rFonts w:hint="eastAsia" w:ascii="宋体" w:hAnsi="宋体" w:cs="宋体"/>
          <w:color w:val="auto"/>
          <w:highlight w:val="none"/>
        </w:rPr>
        <w:t xml:space="preserve">（招标人名称） </w:t>
      </w:r>
    </w:p>
    <w:p w14:paraId="283C0C1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1.我方</w:t>
      </w:r>
      <w:r>
        <w:rPr>
          <w:rFonts w:hint="eastAsia" w:ascii="宋体" w:hAnsi="宋体" w:cs="宋体"/>
          <w:color w:val="auto"/>
          <w:highlight w:val="none"/>
          <w:lang w:eastAsia="zh-CN"/>
        </w:rPr>
        <w:t>已</w:t>
      </w:r>
      <w:r>
        <w:rPr>
          <w:rFonts w:hint="eastAsia" w:ascii="宋体" w:hAnsi="宋体" w:cs="宋体"/>
          <w:color w:val="auto"/>
          <w:highlight w:val="none"/>
        </w:rPr>
        <w:t>仔细研究了</w:t>
      </w:r>
      <w:r>
        <w:rPr>
          <w:rFonts w:hint="eastAsia" w:ascii="宋体" w:hAnsi="宋体" w:cs="宋体"/>
          <w:color w:val="auto"/>
          <w:highlight w:val="none"/>
          <w:u w:val="single"/>
        </w:rPr>
        <w:t xml:space="preserve">      </w:t>
      </w:r>
      <w:r>
        <w:rPr>
          <w:rFonts w:hint="eastAsia" w:ascii="宋体" w:hAnsi="宋体" w:cs="宋体"/>
          <w:color w:val="auto"/>
          <w:highlight w:val="none"/>
        </w:rPr>
        <w:t>（项目编号）</w:t>
      </w:r>
      <w:r>
        <w:rPr>
          <w:rFonts w:hint="eastAsia" w:ascii="宋体" w:hAnsi="宋体" w:cs="宋体"/>
          <w:color w:val="auto"/>
          <w:highlight w:val="none"/>
          <w:u w:val="single"/>
        </w:rPr>
        <w:t xml:space="preserve">         </w:t>
      </w:r>
      <w:r>
        <w:rPr>
          <w:rFonts w:hint="eastAsia" w:ascii="宋体" w:hAnsi="宋体" w:cs="宋体"/>
          <w:color w:val="auto"/>
          <w:highlight w:val="none"/>
        </w:rPr>
        <w:t>（项目名称/标段）</w:t>
      </w:r>
      <w:r>
        <w:rPr>
          <w:rFonts w:hint="eastAsia" w:ascii="宋体" w:hAnsi="宋体" w:cs="宋体"/>
          <w:color w:val="auto"/>
          <w:highlight w:val="none"/>
          <w:u w:val="single"/>
        </w:rPr>
        <w:t xml:space="preserve">         </w:t>
      </w:r>
      <w:r>
        <w:rPr>
          <w:rFonts w:hint="eastAsia" w:ascii="宋体" w:hAnsi="宋体" w:cs="宋体"/>
          <w:color w:val="auto"/>
          <w:highlight w:val="none"/>
        </w:rPr>
        <w:t>招标文件的全部内容和要求，对报价进行了认真测算，综合考虑各项风险后，投标报价</w:t>
      </w:r>
      <w:r>
        <w:rPr>
          <w:rFonts w:hint="eastAsia" w:ascii="宋体" w:hAnsi="宋体" w:cs="宋体"/>
          <w:color w:val="auto"/>
          <w:highlight w:val="none"/>
          <w:lang w:eastAsia="zh-CN"/>
        </w:rPr>
        <w:t>：</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w:t>
      </w:r>
      <w:r>
        <w:rPr>
          <w:rFonts w:hint="eastAsia" w:ascii="宋体" w:hAnsi="宋体" w:cs="宋体"/>
          <w:color w:val="auto"/>
          <w:highlight w:val="none"/>
        </w:rPr>
        <w:t xml:space="preserve">项目负责人为 </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。我方承诺同意接受招标文件的全部内容和条件。</w:t>
      </w:r>
    </w:p>
    <w:p w14:paraId="3DA7479B">
      <w:pPr>
        <w:shd w:val="clear"/>
        <w:spacing w:line="360" w:lineRule="auto"/>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2.服务期限为</w:t>
      </w:r>
      <w:r>
        <w:rPr>
          <w:rFonts w:hint="eastAsia" w:ascii="宋体" w:hAnsi="宋体" w:cs="宋体"/>
          <w:color w:val="auto"/>
          <w:highlight w:val="none"/>
          <w:lang w:eastAsia="zh-CN"/>
        </w:rPr>
        <w:t>：</w:t>
      </w:r>
      <w:r>
        <w:rPr>
          <w:rFonts w:hint="eastAsia" w:ascii="宋体" w:hAnsi="宋体" w:cs="宋体"/>
          <w:color w:val="auto"/>
          <w:highlight w:val="none"/>
          <w:u w:val="single"/>
          <w:lang w:eastAsia="zh-CN"/>
        </w:rPr>
        <w:t>3年（自签订入库协议之日起计算）。招标人采取考评淘汰制及出现重大失误淘汰制，每年考评一次。招标人采取考评淘汰制及出现重大失误淘汰制，每年考评一次。采取1+1+1年方式，第一年全年考核合格，自然转入第二年服务期，第二年全年考核合格，自然转入第三年服务期，否则终止合同。服务期内考核不合格的单位不得参加下一轮本项目扩库的投标。招标人不保证有效期内入库单位的最低项目数量和项目的连续性。</w:t>
      </w:r>
    </w:p>
    <w:p w14:paraId="34575A09">
      <w:pPr>
        <w:shd w:val="clear"/>
        <w:spacing w:line="360" w:lineRule="auto"/>
        <w:ind w:firstLine="420" w:firstLineChars="200"/>
        <w:rPr>
          <w:rFonts w:ascii="宋体" w:hAnsi="宋体" w:cs="宋体"/>
          <w:color w:val="auto"/>
          <w:highlight w:val="none"/>
          <w:u w:val="single"/>
        </w:rPr>
      </w:pPr>
      <w:r>
        <w:rPr>
          <w:rFonts w:hint="eastAsia" w:ascii="宋体" w:hAnsi="宋体" w:cs="宋体"/>
          <w:color w:val="auto"/>
          <w:highlight w:val="none"/>
          <w:lang w:eastAsia="zh-CN"/>
        </w:rPr>
        <w:t>服务要求</w:t>
      </w:r>
      <w:r>
        <w:rPr>
          <w:rFonts w:hint="eastAsia" w:ascii="宋体" w:hAnsi="宋体" w:cs="宋体"/>
          <w:color w:val="auto"/>
          <w:highlight w:val="none"/>
        </w:rPr>
        <w:t>：</w:t>
      </w:r>
      <w:r>
        <w:rPr>
          <w:rFonts w:hint="eastAsia" w:ascii="宋体" w:hAnsi="宋体" w:cs="宋体"/>
          <w:color w:val="auto"/>
          <w:highlight w:val="none"/>
          <w:u w:val="single"/>
        </w:rPr>
        <w:t>严格执行《建设项目工程结算编审规程》CECA/GC3-2010，《建设工程造价咨询成果文件质量标准》CECA/GC7-2012__及采购人和相关部门要求。</w:t>
      </w:r>
    </w:p>
    <w:p w14:paraId="7206A374">
      <w:pPr>
        <w:shd w:val="clear"/>
        <w:spacing w:line="360" w:lineRule="auto"/>
        <w:ind w:firstLine="420" w:firstLineChars="200"/>
        <w:rPr>
          <w:rFonts w:ascii="宋体" w:hAnsi="宋体" w:cs="宋体"/>
          <w:color w:val="auto"/>
          <w:highlight w:val="none"/>
          <w:u w:val="single"/>
        </w:rPr>
      </w:pPr>
      <w:r>
        <w:rPr>
          <w:rFonts w:hint="eastAsia" w:ascii="宋体" w:hAnsi="宋体" w:cs="宋体"/>
          <w:color w:val="auto"/>
          <w:highlight w:val="none"/>
        </w:rPr>
        <w:t>3.我方承诺按合同约定、招标文件及单个项目委托书要求实施和完成服务。</w:t>
      </w:r>
    </w:p>
    <w:p w14:paraId="5CA71BA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我方承诺在投标有效期内不修改、撤销投标文件。</w:t>
      </w:r>
    </w:p>
    <w:p w14:paraId="6E050B2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5.</w:t>
      </w:r>
      <w:r>
        <w:rPr>
          <w:rFonts w:hint="eastAsia" w:ascii="宋体" w:hAnsi="宋体" w:cs="宋体"/>
          <w:color w:val="auto"/>
          <w:highlight w:val="none"/>
        </w:rPr>
        <w:t>如我方中标，承诺如下：</w:t>
      </w:r>
    </w:p>
    <w:p w14:paraId="33A174C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（l）在收到中标通知书后，在中标通知书规定的期限内与你方签订合同。</w:t>
      </w:r>
    </w:p>
    <w:p w14:paraId="7A9D1D6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（2）随同本投标函递交的投标函附录（投标人诚信承诺书）属于合同文件的组成部分。</w:t>
      </w:r>
    </w:p>
    <w:p w14:paraId="1B26A4F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（3）按照招标文件规定向你方递交履约担保。</w:t>
      </w:r>
    </w:p>
    <w:p w14:paraId="3DAC86B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（4）在合同约定的期限内完成服务内容，并接受贵方的考核。</w:t>
      </w:r>
    </w:p>
    <w:p w14:paraId="3B56164F">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（5）本投标函在招标文件规定的提交投标文件截止时间后，在招标文件规定的投标有效期期满前对我方具有约束力，且随时准备接受你方发出的中标通知书。</w:t>
      </w:r>
    </w:p>
    <w:p w14:paraId="4A572C3E">
      <w:pPr>
        <w:shd w:val="clear"/>
        <w:spacing w:line="360" w:lineRule="auto"/>
        <w:rPr>
          <w:rFonts w:ascii="宋体" w:hAnsi="宋体" w:cs="宋体"/>
          <w:color w:val="auto"/>
          <w:highlight w:val="none"/>
        </w:rPr>
      </w:pPr>
      <w:r>
        <w:rPr>
          <w:rFonts w:hint="eastAsia" w:ascii="宋体" w:hAnsi="宋体" w:cs="宋体"/>
          <w:color w:val="auto"/>
          <w:highlight w:val="none"/>
        </w:rPr>
        <w:t xml:space="preserve">   （6）在价款结算过程中按照招标文件约定的方式进行结算。</w:t>
      </w:r>
    </w:p>
    <w:p w14:paraId="58441A62">
      <w:pPr>
        <w:shd w:val="clear"/>
        <w:spacing w:line="360" w:lineRule="auto"/>
        <w:ind w:firstLine="480"/>
        <w:rPr>
          <w:rFonts w:ascii="宋体" w:hAnsi="宋体" w:cs="宋体"/>
          <w:color w:val="auto"/>
          <w:highlight w:val="none"/>
        </w:rPr>
      </w:pPr>
      <w:r>
        <w:rPr>
          <w:rFonts w:hint="eastAsia" w:ascii="宋体" w:hAnsi="宋体" w:cs="宋体"/>
          <w:color w:val="auto"/>
          <w:highlight w:val="none"/>
          <w:lang w:eastAsia="zh-CN"/>
        </w:rPr>
        <w:t>（7）</w:t>
      </w:r>
      <w:r>
        <w:rPr>
          <w:rFonts w:hint="eastAsia" w:ascii="宋体" w:hAnsi="宋体" w:cs="宋体"/>
          <w:color w:val="auto"/>
          <w:highlight w:val="none"/>
        </w:rPr>
        <w:t xml:space="preserve"> 后期履约过程中除不可抗力外如放弃（拒绝）履约，同意履约保证金不予退还，三年内不参与阜阳市公共资源交易活动。</w:t>
      </w:r>
    </w:p>
    <w:p w14:paraId="18D2D0A6">
      <w:pPr>
        <w:shd w:val="clear"/>
        <w:spacing w:line="360" w:lineRule="auto"/>
        <w:ind w:firstLine="480"/>
        <w:rPr>
          <w:rFonts w:ascii="宋体" w:hAnsi="宋体" w:cs="宋体"/>
          <w:color w:val="auto"/>
          <w:highlight w:val="none"/>
        </w:rPr>
      </w:pPr>
      <w:r>
        <w:rPr>
          <w:rFonts w:hint="eastAsia" w:ascii="宋体" w:hAnsi="宋体" w:cs="宋体"/>
          <w:color w:val="auto"/>
          <w:highlight w:val="none"/>
          <w:lang w:eastAsia="zh-CN"/>
        </w:rPr>
        <w:t>6.</w:t>
      </w:r>
      <w:r>
        <w:rPr>
          <w:rFonts w:hint="eastAsia" w:ascii="宋体" w:hAnsi="宋体" w:cs="宋体"/>
          <w:color w:val="auto"/>
          <w:highlight w:val="none"/>
        </w:rPr>
        <w:t>我方在此声明，所递交的投标文件及有关资料内容完整、真实和准确，且不存在第二章“投标人须知”第1.4.3 项规定、投标人诚信承诺书及以下不良信用记录的任何一种情形。</w:t>
      </w:r>
    </w:p>
    <w:p w14:paraId="6E975D13">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（1）投标人被人民法院列入失信被执行人的；</w:t>
      </w:r>
    </w:p>
    <w:p w14:paraId="04B0CB2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（2）投标人被工商行政管理部门列入企业经营异常名录的；</w:t>
      </w:r>
    </w:p>
    <w:p w14:paraId="768E54B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（3）投标人被税务部门列入重大税收违法案件当事人名单的；</w:t>
      </w:r>
    </w:p>
    <w:p w14:paraId="2B968DC3">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（4）投标人被政府采购监管部门列入政府采购严重违法失信行为记录名单的。</w:t>
      </w:r>
    </w:p>
    <w:p w14:paraId="5968310C">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7.如招标人按照评标委员会提出的中标候选人名单排序顺延确定我单位为中标人，我单位作为顺延的中标候选人愿意和承诺按照入库协议价签订合同。</w:t>
      </w:r>
    </w:p>
    <w:p w14:paraId="2BA7BD2A">
      <w:pPr>
        <w:shd w:val="clear"/>
        <w:spacing w:line="360" w:lineRule="auto"/>
        <w:ind w:firstLine="480"/>
        <w:rPr>
          <w:rFonts w:ascii="宋体" w:hAnsi="宋体" w:cs="宋体"/>
          <w:color w:val="auto"/>
          <w:highlight w:val="none"/>
        </w:rPr>
      </w:pPr>
      <w:r>
        <w:rPr>
          <w:rFonts w:hint="eastAsia" w:ascii="宋体" w:hAnsi="宋体" w:cs="宋体"/>
          <w:color w:val="auto"/>
          <w:highlight w:val="none"/>
        </w:rPr>
        <w:t xml:space="preserve">8. </w:t>
      </w:r>
      <w:r>
        <w:rPr>
          <w:rFonts w:hint="eastAsia" w:ascii="宋体" w:hAnsi="宋体" w:cs="宋体"/>
          <w:color w:val="auto"/>
          <w:highlight w:val="none"/>
          <w:u w:val="single"/>
        </w:rPr>
        <w:t xml:space="preserve">                     </w:t>
      </w:r>
      <w:r>
        <w:rPr>
          <w:rFonts w:hint="eastAsia" w:ascii="宋体" w:hAnsi="宋体" w:cs="宋体"/>
          <w:color w:val="auto"/>
          <w:highlight w:val="none"/>
        </w:rPr>
        <w:t>（其他补充说明）。</w:t>
      </w:r>
    </w:p>
    <w:p w14:paraId="2B176A5F">
      <w:pPr>
        <w:shd w:val="clear"/>
        <w:spacing w:line="360" w:lineRule="auto"/>
        <w:ind w:firstLine="480"/>
        <w:rPr>
          <w:rFonts w:ascii="宋体" w:hAnsi="宋体" w:cs="宋体"/>
          <w:color w:val="auto"/>
          <w:highlight w:val="none"/>
        </w:rPr>
      </w:pPr>
      <w:r>
        <w:rPr>
          <w:rFonts w:hint="eastAsia" w:ascii="宋体" w:hAnsi="宋体" w:cs="宋体"/>
          <w:color w:val="auto"/>
          <w:highlight w:val="none"/>
        </w:rPr>
        <w:t>附录1：投标人诚信承诺书；</w:t>
      </w:r>
    </w:p>
    <w:p w14:paraId="2D836FC1">
      <w:pPr>
        <w:shd w:val="clear"/>
        <w:spacing w:line="360" w:lineRule="auto"/>
        <w:jc w:val="righ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0ADB5B48">
      <w:pPr>
        <w:shd w:val="clear"/>
        <w:spacing w:line="360" w:lineRule="auto"/>
        <w:jc w:val="right"/>
        <w:rPr>
          <w:rFonts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（签字或盖章）</w:t>
      </w:r>
    </w:p>
    <w:p w14:paraId="37AB7534">
      <w:pPr>
        <w:shd w:val="clear"/>
        <w:spacing w:line="360" w:lineRule="auto"/>
        <w:ind w:right="840" w:firstLine="2940" w:firstLineChars="1400"/>
        <w:rPr>
          <w:rFonts w:ascii="宋体" w:hAnsi="宋体" w:cs="宋体"/>
          <w:color w:val="auto"/>
          <w:highlight w:val="none"/>
        </w:rPr>
      </w:pPr>
      <w:r>
        <w:rPr>
          <w:rFonts w:hint="eastAsia" w:ascii="宋体" w:hAnsi="宋体" w:cs="宋体"/>
          <w:color w:val="auto"/>
          <w:highlight w:val="none"/>
        </w:rPr>
        <w:t xml:space="preserve">地  址： </w:t>
      </w:r>
      <w:r>
        <w:rPr>
          <w:rFonts w:hint="eastAsia" w:ascii="宋体" w:hAnsi="宋体" w:cs="宋体"/>
          <w:color w:val="auto"/>
          <w:highlight w:val="none"/>
          <w:u w:val="single"/>
        </w:rPr>
        <w:t xml:space="preserve">                                      </w:t>
      </w:r>
    </w:p>
    <w:p w14:paraId="229B0573">
      <w:pPr>
        <w:shd w:val="clear"/>
        <w:spacing w:line="360" w:lineRule="auto"/>
        <w:ind w:firstLine="2940" w:firstLineChars="1400"/>
        <w:rPr>
          <w:rFonts w:ascii="宋体" w:hAnsi="宋体" w:cs="宋体"/>
          <w:color w:val="auto"/>
          <w:highlight w:val="none"/>
        </w:rPr>
      </w:pPr>
      <w:r>
        <w:rPr>
          <w:rFonts w:hint="eastAsia" w:ascii="宋体" w:hAnsi="宋体" w:cs="宋体"/>
          <w:color w:val="auto"/>
          <w:highlight w:val="none"/>
        </w:rPr>
        <w:t>电   话：</w:t>
      </w:r>
      <w:r>
        <w:rPr>
          <w:rFonts w:hint="eastAsia" w:ascii="宋体" w:hAnsi="宋体" w:cs="宋体"/>
          <w:color w:val="auto"/>
          <w:highlight w:val="none"/>
          <w:u w:val="single"/>
        </w:rPr>
        <w:t xml:space="preserve">                              </w:t>
      </w:r>
    </w:p>
    <w:p w14:paraId="0209ABF7">
      <w:pPr>
        <w:shd w:val="clear"/>
        <w:spacing w:line="360" w:lineRule="auto"/>
        <w:jc w:val="center"/>
        <w:rPr>
          <w:rFonts w:ascii="宋体" w:hAnsi="宋体" w:cs="宋体"/>
          <w:color w:val="auto"/>
          <w:highlight w:val="none"/>
        </w:rPr>
      </w:pPr>
      <w:r>
        <w:rPr>
          <w:rFonts w:hint="eastAsia" w:ascii="宋体" w:hAnsi="宋体" w:cs="宋体"/>
          <w:color w:val="auto"/>
          <w:highlight w:val="none"/>
        </w:rPr>
        <w:t xml:space="preserve">                  </w:t>
      </w:r>
    </w:p>
    <w:p w14:paraId="53D38520">
      <w:pPr>
        <w:shd w:val="clear"/>
        <w:spacing w:line="360" w:lineRule="auto"/>
        <w:ind w:firstLine="4326" w:firstLineChars="2060"/>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BE83408">
      <w:pPr>
        <w:widowControl/>
        <w:shd w:val="clear"/>
        <w:spacing w:line="360" w:lineRule="auto"/>
        <w:jc w:val="left"/>
        <w:rPr>
          <w:rFonts w:ascii="宋体" w:hAnsi="宋体" w:cs="宋体"/>
          <w:b/>
          <w:bCs/>
          <w:color w:val="auto"/>
          <w:kern w:val="0"/>
          <w:highlight w:val="none"/>
        </w:rPr>
      </w:pPr>
      <w:r>
        <w:rPr>
          <w:rFonts w:hint="eastAsia" w:ascii="宋体" w:hAnsi="宋体" w:cs="宋体"/>
          <w:b/>
          <w:bCs/>
          <w:color w:val="auto"/>
          <w:kern w:val="0"/>
          <w:highlight w:val="none"/>
        </w:rPr>
        <w:br w:type="page"/>
      </w:r>
      <w:r>
        <w:rPr>
          <w:rFonts w:hint="eastAsia" w:ascii="宋体" w:hAnsi="宋体" w:cs="宋体"/>
          <w:b/>
          <w:bCs/>
          <w:color w:val="auto"/>
          <w:kern w:val="0"/>
          <w:highlight w:val="none"/>
        </w:rPr>
        <w:t>附录1：</w:t>
      </w:r>
    </w:p>
    <w:p w14:paraId="6FF55E12">
      <w:pPr>
        <w:widowControl/>
        <w:shd w:val="clear"/>
        <w:spacing w:line="360" w:lineRule="auto"/>
        <w:jc w:val="left"/>
        <w:rPr>
          <w:rFonts w:ascii="宋体" w:hAnsi="宋体" w:cs="宋体"/>
          <w:b/>
          <w:bCs/>
          <w:color w:val="auto"/>
          <w:kern w:val="0"/>
          <w:highlight w:val="none"/>
        </w:rPr>
      </w:pPr>
    </w:p>
    <w:p w14:paraId="24D14CC0">
      <w:pPr>
        <w:widowControl/>
        <w:shd w:val="clear"/>
        <w:spacing w:line="360" w:lineRule="auto"/>
        <w:jc w:val="center"/>
        <w:rPr>
          <w:rFonts w:ascii="宋体" w:hAnsi="宋体" w:cs="宋体"/>
          <w:b/>
          <w:bCs/>
          <w:color w:val="auto"/>
          <w:highlight w:val="none"/>
        </w:rPr>
      </w:pPr>
      <w:r>
        <w:rPr>
          <w:rFonts w:hint="eastAsia" w:ascii="宋体" w:hAnsi="宋体" w:cs="宋体"/>
          <w:b/>
          <w:bCs/>
          <w:color w:val="auto"/>
          <w:highlight w:val="none"/>
        </w:rPr>
        <w:t>投标人诚信承诺书</w:t>
      </w:r>
    </w:p>
    <w:p w14:paraId="2D3C6728">
      <w:pPr>
        <w:widowControl/>
        <w:shd w:val="clear"/>
        <w:spacing w:line="360" w:lineRule="auto"/>
        <w:jc w:val="center"/>
        <w:rPr>
          <w:rFonts w:ascii="宋体" w:hAnsi="宋体" w:cs="宋体"/>
          <w:b/>
          <w:bCs/>
          <w:color w:val="auto"/>
          <w:kern w:val="0"/>
          <w:highlight w:val="none"/>
        </w:rPr>
      </w:pPr>
    </w:p>
    <w:p w14:paraId="50773E4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我单位参加本次投标，郑重承诺如下：</w:t>
      </w:r>
    </w:p>
    <w:p w14:paraId="14335C11">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1. 本次投标提供的所有资料都是真实有效、准确完整的，如发现提供虚假资料或与事实不符，同意取消投标和中标候选人资格。</w:t>
      </w:r>
    </w:p>
    <w:p w14:paraId="47B29A6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本次投标绝无资质挂靠、串标、围标情形，若经查证属实，同意取消投标和中标候选人资格。</w:t>
      </w:r>
    </w:p>
    <w:p w14:paraId="487969FD">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3.</w:t>
      </w:r>
      <w:r>
        <w:rPr>
          <w:rFonts w:hint="eastAsia" w:ascii="宋体" w:hAnsi="宋体" w:cs="宋体"/>
          <w:color w:val="auto"/>
          <w:highlight w:val="none"/>
        </w:rPr>
        <w:t>本次投标拟派项目人员均是我单位的正式员工，且满足采购文件要求中人员配置要求，</w:t>
      </w:r>
      <w:r>
        <w:rPr>
          <w:rFonts w:hint="eastAsia" w:ascii="宋体" w:hAnsi="宋体" w:cs="宋体"/>
          <w:color w:val="auto"/>
          <w:highlight w:val="none"/>
          <w:lang w:eastAsia="zh-CN"/>
        </w:rPr>
        <w:t>若</w:t>
      </w:r>
      <w:r>
        <w:rPr>
          <w:rFonts w:hint="eastAsia" w:ascii="宋体" w:hAnsi="宋体" w:cs="宋体"/>
          <w:color w:val="auto"/>
          <w:highlight w:val="none"/>
        </w:rPr>
        <w:t>后期发现人员及业务能力不足，同意取消投标和中标候选人资格。</w:t>
      </w:r>
    </w:p>
    <w:p w14:paraId="37FFFD76">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本次招标如我方为中标候选人，除不可抗力外（是指不能预见、不能避免并不能克服的客观情况，包括自然灾害和社会突发事件，如地震、海啸、瘟疫、水灾、骚乱、暴动、战争等），</w:t>
      </w:r>
      <w:r>
        <w:rPr>
          <w:rFonts w:hint="eastAsia" w:ascii="宋体" w:hAnsi="宋体" w:cs="宋体"/>
          <w:color w:val="auto"/>
          <w:highlight w:val="none"/>
          <w:lang w:eastAsia="zh-CN"/>
        </w:rPr>
        <w:t>绝不</w:t>
      </w:r>
      <w:r>
        <w:rPr>
          <w:rFonts w:hint="eastAsia" w:ascii="宋体" w:hAnsi="宋体" w:cs="宋体"/>
          <w:color w:val="auto"/>
          <w:highlight w:val="none"/>
        </w:rPr>
        <w:t>因任何</w:t>
      </w:r>
      <w:r>
        <w:rPr>
          <w:rFonts w:hint="eastAsia" w:ascii="宋体" w:hAnsi="宋体" w:cs="宋体"/>
          <w:color w:val="auto"/>
          <w:highlight w:val="none"/>
          <w:lang w:eastAsia="zh-CN"/>
        </w:rPr>
        <w:t>其他</w:t>
      </w:r>
      <w:r>
        <w:rPr>
          <w:rFonts w:hint="eastAsia" w:ascii="宋体" w:hAnsi="宋体" w:cs="宋体"/>
          <w:color w:val="auto"/>
          <w:highlight w:val="none"/>
        </w:rPr>
        <w:t>原因放弃中标候选人资格。</w:t>
      </w:r>
    </w:p>
    <w:p w14:paraId="23471D49">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5.</w:t>
      </w:r>
      <w:r>
        <w:rPr>
          <w:rFonts w:hint="eastAsia" w:ascii="宋体" w:hAnsi="宋体" w:cs="宋体"/>
          <w:color w:val="auto"/>
          <w:highlight w:val="none"/>
        </w:rPr>
        <w:t>我方中标后，严格按照招标文件和我单位投标文件的约定签订合同。</w:t>
      </w:r>
    </w:p>
    <w:p w14:paraId="74AC1C5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lang w:eastAsia="zh-CN"/>
        </w:rPr>
        <w:t>6.</w:t>
      </w:r>
      <w:r>
        <w:rPr>
          <w:rFonts w:hint="eastAsia" w:ascii="宋体" w:hAnsi="宋体" w:cs="宋体"/>
          <w:color w:val="auto"/>
          <w:highlight w:val="none"/>
        </w:rPr>
        <w:t>我方若达不到招标公告投标人资格要求条件参与投标的，同意视为弄虚作假进行处理。</w:t>
      </w:r>
    </w:p>
    <w:p w14:paraId="6D3D44F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出现上述情形之一的，我方同意在1至3年内不参与贵单位活动，愿意接受处罚并承担所有经济损失和法律责任。</w:t>
      </w:r>
    </w:p>
    <w:p w14:paraId="5FC5F71F">
      <w:pPr>
        <w:widowControl/>
        <w:shd w:val="clear"/>
        <w:spacing w:line="360" w:lineRule="auto"/>
        <w:ind w:firstLine="420"/>
        <w:rPr>
          <w:rFonts w:ascii="宋体" w:hAnsi="宋体" w:cs="宋体"/>
          <w:color w:val="auto"/>
          <w:kern w:val="0"/>
          <w:highlight w:val="none"/>
        </w:rPr>
      </w:pPr>
    </w:p>
    <w:p w14:paraId="34E28275">
      <w:pPr>
        <w:widowControl/>
        <w:shd w:val="clear"/>
        <w:spacing w:line="360" w:lineRule="auto"/>
        <w:ind w:right="55" w:firstLine="420"/>
        <w:jc w:val="right"/>
        <w:rPr>
          <w:rFonts w:ascii="宋体" w:hAnsi="宋体" w:cs="宋体"/>
          <w:color w:val="auto"/>
          <w:kern w:val="0"/>
          <w:highlight w:val="none"/>
        </w:rPr>
      </w:pPr>
      <w:r>
        <w:rPr>
          <w:rFonts w:hint="eastAsia" w:ascii="宋体" w:hAnsi="宋体" w:cs="宋体"/>
          <w:color w:val="auto"/>
          <w:kern w:val="0"/>
          <w:highlight w:val="none"/>
        </w:rPr>
        <w:t>投标人：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（盖单位章）</w:t>
      </w:r>
    </w:p>
    <w:p w14:paraId="67E1D9EB">
      <w:pPr>
        <w:widowControl/>
        <w:shd w:val="clear"/>
        <w:spacing w:line="360" w:lineRule="auto"/>
        <w:ind w:right="420" w:firstLine="420"/>
        <w:jc w:val="right"/>
        <w:rPr>
          <w:rFonts w:ascii="宋体" w:hAnsi="宋体" w:cs="宋体"/>
          <w:color w:val="auto"/>
          <w:kern w:val="0"/>
          <w:highlight w:val="none"/>
        </w:rPr>
      </w:pPr>
      <w:r>
        <w:rPr>
          <w:rFonts w:hint="eastAsia" w:ascii="宋体" w:hAnsi="宋体" w:cs="宋体"/>
          <w:color w:val="auto"/>
          <w:kern w:val="0"/>
          <w:highlight w:val="none"/>
        </w:rPr>
        <w:t>法定代表人或其委托代理人：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（签字或盖章）</w:t>
      </w:r>
    </w:p>
    <w:p w14:paraId="42F9BD99">
      <w:pPr>
        <w:widowControl/>
        <w:shd w:val="clear"/>
        <w:spacing w:line="360" w:lineRule="auto"/>
        <w:ind w:firstLine="420"/>
        <w:jc w:val="center"/>
        <w:rPr>
          <w:rFonts w:ascii="宋体" w:hAnsi="宋体" w:cs="宋体"/>
          <w:color w:val="auto"/>
          <w:kern w:val="0"/>
          <w:highlight w:val="none"/>
        </w:rPr>
      </w:pPr>
      <w:r>
        <w:rPr>
          <w:rFonts w:hint="eastAsia" w:ascii="宋体" w:hAnsi="宋体" w:cs="宋体"/>
          <w:color w:val="auto"/>
          <w:kern w:val="0"/>
          <w:highlight w:val="none"/>
        </w:rPr>
        <w:t xml:space="preserve">                                  </w:t>
      </w:r>
    </w:p>
    <w:p w14:paraId="4ACA880F">
      <w:pPr>
        <w:shd w:val="clear"/>
        <w:spacing w:line="360" w:lineRule="auto"/>
        <w:rPr>
          <w:rFonts w:ascii="宋体" w:hAnsi="宋体" w:cs="宋体"/>
          <w:color w:val="auto"/>
          <w:highlight w:val="none"/>
        </w:rPr>
      </w:pPr>
      <w:r>
        <w:rPr>
          <w:rFonts w:hint="eastAsia" w:ascii="宋体" w:hAnsi="宋体" w:cs="宋体"/>
          <w:color w:val="auto"/>
          <w:highlight w:val="none"/>
        </w:rPr>
        <w:t xml:space="preserve">                                                        年    月    日</w:t>
      </w:r>
    </w:p>
    <w:p w14:paraId="4149DB7C">
      <w:pPr>
        <w:shd w:val="clear"/>
        <w:spacing w:line="360" w:lineRule="auto"/>
        <w:rPr>
          <w:rFonts w:ascii="宋体" w:hAnsi="宋体" w:cs="宋体"/>
          <w:color w:val="auto"/>
          <w:highlight w:val="none"/>
        </w:rPr>
      </w:pPr>
    </w:p>
    <w:p w14:paraId="3C2310CD">
      <w:pPr>
        <w:shd w:val="clear"/>
        <w:spacing w:line="360" w:lineRule="auto"/>
        <w:rPr>
          <w:rFonts w:ascii="宋体" w:hAnsi="宋体" w:cs="宋体"/>
          <w:color w:val="auto"/>
          <w:highlight w:val="none"/>
        </w:rPr>
      </w:pPr>
    </w:p>
    <w:p w14:paraId="0D54397C">
      <w:pPr>
        <w:shd w:val="clear"/>
        <w:spacing w:line="360" w:lineRule="auto"/>
        <w:rPr>
          <w:rFonts w:ascii="宋体" w:hAnsi="宋体" w:cs="宋体"/>
          <w:color w:val="auto"/>
          <w:highlight w:val="none"/>
        </w:rPr>
      </w:pPr>
    </w:p>
    <w:bookmarkEnd w:id="339"/>
    <w:p w14:paraId="7252E491">
      <w:pPr>
        <w:shd w:val="clear"/>
        <w:spacing w:line="360" w:lineRule="auto"/>
        <w:jc w:val="center"/>
        <w:rPr>
          <w:rFonts w:ascii="宋体" w:hAnsi="宋体" w:cs="宋体"/>
          <w:b/>
          <w:bCs/>
          <w:color w:val="auto"/>
          <w:highlight w:val="none"/>
        </w:rPr>
      </w:pPr>
    </w:p>
    <w:p w14:paraId="2C2D48C5">
      <w:pPr>
        <w:pStyle w:val="12"/>
        <w:shd w:val="clear"/>
        <w:ind w:left="0" w:leftChars="0" w:firstLine="0" w:firstLineChars="0"/>
        <w:rPr>
          <w:color w:val="auto"/>
          <w:highlight w:val="none"/>
        </w:rPr>
      </w:pPr>
    </w:p>
    <w:p w14:paraId="19AAFAC4">
      <w:pPr>
        <w:shd w:val="clear"/>
        <w:spacing w:line="360" w:lineRule="auto"/>
        <w:jc w:val="center"/>
        <w:rPr>
          <w:rFonts w:hint="eastAsia" w:ascii="宋体" w:hAnsi="宋体" w:cs="宋体"/>
          <w:b/>
          <w:bCs/>
          <w:color w:val="auto"/>
          <w:highlight w:val="none"/>
        </w:rPr>
      </w:pPr>
    </w:p>
    <w:p w14:paraId="0272B68B">
      <w:pPr>
        <w:shd w:val="clear"/>
        <w:spacing w:line="360" w:lineRule="auto"/>
        <w:jc w:val="center"/>
        <w:rPr>
          <w:rFonts w:hint="eastAsia" w:ascii="宋体" w:hAnsi="宋体" w:cs="宋体"/>
          <w:b/>
          <w:bCs/>
          <w:color w:val="auto"/>
          <w:highlight w:val="none"/>
        </w:rPr>
      </w:pPr>
    </w:p>
    <w:p w14:paraId="3BD5526C">
      <w:pPr>
        <w:shd w:val="clear"/>
        <w:spacing w:line="360" w:lineRule="auto"/>
        <w:jc w:val="center"/>
        <w:rPr>
          <w:rFonts w:ascii="宋体" w:hAnsi="宋体" w:cs="宋体"/>
          <w:b/>
          <w:bCs/>
          <w:color w:val="auto"/>
          <w:highlight w:val="none"/>
        </w:rPr>
      </w:pPr>
      <w:r>
        <w:rPr>
          <w:rFonts w:hint="eastAsia" w:ascii="宋体" w:hAnsi="宋体" w:cs="宋体"/>
          <w:b/>
          <w:bCs/>
          <w:color w:val="auto"/>
          <w:highlight w:val="none"/>
        </w:rPr>
        <w:t>二、法定代表人身份证明书</w:t>
      </w:r>
    </w:p>
    <w:p w14:paraId="3C69CFB2">
      <w:pPr>
        <w:shd w:val="clear"/>
        <w:spacing w:line="360" w:lineRule="auto"/>
        <w:rPr>
          <w:rFonts w:ascii="宋体" w:hAnsi="宋体" w:cs="宋体"/>
          <w:color w:val="auto"/>
          <w:highlight w:val="none"/>
        </w:rPr>
      </w:pPr>
    </w:p>
    <w:p w14:paraId="18209337">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投标人名称</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588B2C35">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单位性质</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0A5273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地址</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67E0A54B">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成立时间：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697F724">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经营期限</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775B9B8A">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姓名：</w:t>
      </w:r>
      <w:r>
        <w:rPr>
          <w:rFonts w:hint="eastAsia" w:ascii="宋体" w:hAnsi="宋体" w:cs="宋体"/>
          <w:color w:val="auto"/>
          <w:highlight w:val="none"/>
          <w:u w:val="single"/>
        </w:rPr>
        <w:t xml:space="preserve">           </w:t>
      </w:r>
      <w:r>
        <w:rPr>
          <w:rFonts w:hint="eastAsia" w:ascii="宋体" w:hAnsi="宋体" w:cs="宋体"/>
          <w:color w:val="auto"/>
          <w:highlight w:val="none"/>
        </w:rPr>
        <w:t>性别：</w:t>
      </w:r>
      <w:r>
        <w:rPr>
          <w:rFonts w:hint="eastAsia" w:ascii="宋体" w:hAnsi="宋体" w:cs="宋体"/>
          <w:color w:val="auto"/>
          <w:highlight w:val="none"/>
          <w:u w:val="single"/>
        </w:rPr>
        <w:t xml:space="preserve">        </w:t>
      </w:r>
      <w:r>
        <w:rPr>
          <w:rFonts w:hint="eastAsia" w:ascii="宋体" w:hAnsi="宋体" w:cs="宋体"/>
          <w:color w:val="auto"/>
          <w:highlight w:val="none"/>
        </w:rPr>
        <w:t>年龄：</w:t>
      </w:r>
      <w:r>
        <w:rPr>
          <w:rFonts w:hint="eastAsia" w:ascii="宋体" w:hAnsi="宋体" w:cs="宋体"/>
          <w:color w:val="auto"/>
          <w:highlight w:val="none"/>
          <w:u w:val="single"/>
        </w:rPr>
        <w:t xml:space="preserve">       </w:t>
      </w:r>
      <w:r>
        <w:rPr>
          <w:rFonts w:hint="eastAsia" w:ascii="宋体" w:hAnsi="宋体" w:cs="宋体"/>
          <w:color w:val="auto"/>
          <w:highlight w:val="none"/>
        </w:rPr>
        <w:t>职务：</w:t>
      </w:r>
      <w:r>
        <w:rPr>
          <w:rFonts w:hint="eastAsia" w:ascii="宋体" w:hAnsi="宋体" w:cs="宋体"/>
          <w:color w:val="auto"/>
          <w:highlight w:val="none"/>
          <w:u w:val="single"/>
        </w:rPr>
        <w:t xml:space="preserve">       </w:t>
      </w:r>
      <w:r>
        <w:rPr>
          <w:rFonts w:hint="eastAsia" w:ascii="宋体" w:hAnsi="宋体" w:cs="宋体"/>
          <w:color w:val="auto"/>
          <w:highlight w:val="none"/>
        </w:rPr>
        <w:t>_</w:t>
      </w:r>
    </w:p>
    <w:p w14:paraId="1A8D2D0E">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系</w:t>
      </w:r>
      <w:r>
        <w:rPr>
          <w:rFonts w:hint="eastAsia" w:ascii="宋体" w:hAnsi="宋体" w:cs="宋体"/>
          <w:color w:val="auto"/>
          <w:highlight w:val="none"/>
          <w:u w:val="single"/>
        </w:rPr>
        <w:t xml:space="preserve">                                </w:t>
      </w:r>
      <w:r>
        <w:rPr>
          <w:rFonts w:hint="eastAsia" w:ascii="宋体" w:hAnsi="宋体" w:cs="宋体"/>
          <w:color w:val="auto"/>
          <w:highlight w:val="none"/>
        </w:rPr>
        <w:t>（投标人名称）的法定代表人。</w:t>
      </w:r>
    </w:p>
    <w:p w14:paraId="366D06A6">
      <w:pPr>
        <w:shd w:val="clear"/>
        <w:spacing w:line="360" w:lineRule="auto"/>
        <w:ind w:firstLine="840" w:firstLineChars="400"/>
        <w:rPr>
          <w:rFonts w:ascii="宋体" w:hAnsi="宋体" w:cs="宋体"/>
          <w:color w:val="auto"/>
          <w:highlight w:val="none"/>
        </w:rPr>
      </w:pPr>
      <w:r>
        <w:rPr>
          <w:rFonts w:hint="eastAsia" w:ascii="宋体" w:hAnsi="宋体" w:cs="宋体"/>
          <w:color w:val="auto"/>
          <w:highlight w:val="none"/>
        </w:rPr>
        <w:t>特此证明。</w:t>
      </w:r>
    </w:p>
    <w:p w14:paraId="45306932">
      <w:pPr>
        <w:shd w:val="clear"/>
        <w:spacing w:line="360" w:lineRule="auto"/>
        <w:ind w:firstLine="420" w:firstLineChars="200"/>
        <w:rPr>
          <w:rFonts w:ascii="宋体" w:hAnsi="宋体" w:cs="宋体"/>
          <w:color w:val="auto"/>
          <w:highlight w:val="none"/>
        </w:rPr>
      </w:pPr>
      <w:r>
        <w:rPr>
          <w:rFonts w:hint="eastAsia" w:ascii="宋体" w:hAnsi="宋体" w:cs="宋体"/>
          <w:color w:val="auto"/>
          <w:highlight w:val="none"/>
        </w:rPr>
        <w:t>附：法定代表人身份证复印件（正反面，加盖单位公章）</w:t>
      </w:r>
    </w:p>
    <w:p w14:paraId="544605F6">
      <w:pPr>
        <w:shd w:val="clear"/>
        <w:spacing w:line="360" w:lineRule="auto"/>
        <w:ind w:firstLine="840" w:firstLineChars="400"/>
        <w:rPr>
          <w:rFonts w:ascii="宋体" w:hAnsi="宋体" w:cs="宋体"/>
          <w:color w:val="auto"/>
          <w:highlight w:val="none"/>
        </w:rPr>
      </w:pPr>
    </w:p>
    <w:p w14:paraId="0A79AA14">
      <w:pPr>
        <w:shd w:val="clear"/>
        <w:spacing w:line="360" w:lineRule="auto"/>
        <w:ind w:firstLine="420" w:firstLineChars="200"/>
        <w:rPr>
          <w:rFonts w:ascii="宋体" w:hAnsi="宋体" w:cs="宋体"/>
          <w:color w:val="auto"/>
          <w:highlight w:val="none"/>
        </w:rPr>
      </w:pPr>
    </w:p>
    <w:p w14:paraId="1D1C42C8">
      <w:pPr>
        <w:shd w:val="clear"/>
        <w:spacing w:line="360" w:lineRule="auto"/>
        <w:rPr>
          <w:rFonts w:ascii="宋体" w:hAnsi="宋体" w:cs="宋体"/>
          <w:color w:val="auto"/>
          <w:highlight w:val="none"/>
        </w:rPr>
      </w:pPr>
    </w:p>
    <w:p w14:paraId="3D7C1AAF">
      <w:pPr>
        <w:shd w:val="clear"/>
        <w:spacing w:line="360" w:lineRule="auto"/>
        <w:ind w:firstLine="420" w:firstLineChars="200"/>
        <w:rPr>
          <w:rFonts w:ascii="宋体" w:hAnsi="宋体" w:cs="宋体"/>
          <w:color w:val="auto"/>
          <w:highlight w:val="none"/>
        </w:rPr>
      </w:pPr>
    </w:p>
    <w:p w14:paraId="1329C6AF">
      <w:pPr>
        <w:shd w:val="clear"/>
        <w:spacing w:line="360" w:lineRule="auto"/>
        <w:ind w:firstLine="3675" w:firstLineChars="1750"/>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7CBDC8C9">
      <w:pPr>
        <w:shd w:val="clear"/>
        <w:spacing w:line="360" w:lineRule="auto"/>
        <w:ind w:firstLine="4515" w:firstLineChars="2150"/>
        <w:rPr>
          <w:rFonts w:ascii="宋体" w:hAnsi="宋体" w:cs="宋体"/>
          <w:color w:val="auto"/>
          <w:highlight w:val="none"/>
          <w:u w:val="single"/>
        </w:rPr>
      </w:pPr>
    </w:p>
    <w:p w14:paraId="75364B07">
      <w:pPr>
        <w:shd w:val="clear"/>
        <w:spacing w:line="360" w:lineRule="auto"/>
        <w:ind w:firstLine="4515" w:firstLineChars="2150"/>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7BBD76AB">
      <w:pPr>
        <w:shd w:val="clear"/>
        <w:spacing w:line="360" w:lineRule="auto"/>
        <w:jc w:val="center"/>
        <w:rPr>
          <w:rFonts w:ascii="宋体" w:hAnsi="宋体" w:cs="宋体"/>
          <w:b/>
          <w:bCs/>
          <w:color w:val="auto"/>
          <w:highlight w:val="none"/>
        </w:rPr>
      </w:pPr>
    </w:p>
    <w:p w14:paraId="113C8DB0">
      <w:pPr>
        <w:shd w:val="clear"/>
        <w:spacing w:line="360" w:lineRule="auto"/>
        <w:jc w:val="center"/>
        <w:rPr>
          <w:rFonts w:ascii="宋体" w:hAnsi="宋体" w:cs="宋体"/>
          <w:b/>
          <w:bCs/>
          <w:color w:val="auto"/>
          <w:highlight w:val="none"/>
        </w:rPr>
      </w:pPr>
    </w:p>
    <w:p w14:paraId="2EDB106D">
      <w:pPr>
        <w:shd w:val="clear"/>
        <w:spacing w:line="360" w:lineRule="auto"/>
        <w:jc w:val="center"/>
        <w:rPr>
          <w:rFonts w:ascii="宋体" w:hAnsi="宋体" w:cs="宋体"/>
          <w:b/>
          <w:bCs/>
          <w:color w:val="auto"/>
          <w:highlight w:val="none"/>
        </w:rPr>
      </w:pPr>
    </w:p>
    <w:p w14:paraId="51542980">
      <w:pPr>
        <w:shd w:val="clear"/>
        <w:spacing w:line="360" w:lineRule="auto"/>
        <w:jc w:val="center"/>
        <w:rPr>
          <w:rFonts w:ascii="宋体" w:hAnsi="宋体" w:cs="宋体"/>
          <w:b/>
          <w:bCs/>
          <w:color w:val="auto"/>
          <w:highlight w:val="none"/>
        </w:rPr>
      </w:pPr>
    </w:p>
    <w:p w14:paraId="45900EB7">
      <w:pPr>
        <w:shd w:val="clear"/>
        <w:spacing w:after="120" w:line="360" w:lineRule="auto"/>
        <w:ind w:left="420" w:leftChars="200" w:firstLine="420" w:firstLineChars="200"/>
        <w:rPr>
          <w:rFonts w:ascii="宋体" w:hAnsi="宋体" w:cs="宋体"/>
          <w:color w:val="auto"/>
          <w:highlight w:val="none"/>
        </w:rPr>
      </w:pPr>
    </w:p>
    <w:p w14:paraId="7182464D">
      <w:pPr>
        <w:shd w:val="clear"/>
        <w:spacing w:line="360" w:lineRule="auto"/>
        <w:jc w:val="center"/>
        <w:rPr>
          <w:rFonts w:ascii="宋体" w:hAnsi="宋体" w:cs="宋体"/>
          <w:b/>
          <w:bCs/>
          <w:color w:val="auto"/>
          <w:highlight w:val="none"/>
        </w:rPr>
      </w:pPr>
    </w:p>
    <w:p w14:paraId="7C8ED7AD">
      <w:pPr>
        <w:shd w:val="clear"/>
        <w:spacing w:line="360" w:lineRule="auto"/>
        <w:jc w:val="center"/>
        <w:rPr>
          <w:rFonts w:ascii="宋体" w:hAnsi="宋体" w:cs="宋体"/>
          <w:b/>
          <w:bCs/>
          <w:color w:val="auto"/>
          <w:highlight w:val="none"/>
        </w:rPr>
      </w:pPr>
    </w:p>
    <w:p w14:paraId="2EE1B980">
      <w:pPr>
        <w:shd w:val="clear"/>
        <w:spacing w:line="360" w:lineRule="auto"/>
        <w:jc w:val="center"/>
        <w:rPr>
          <w:rFonts w:ascii="宋体" w:hAnsi="宋体" w:cs="宋体"/>
          <w:b/>
          <w:bCs/>
          <w:color w:val="auto"/>
          <w:highlight w:val="none"/>
        </w:rPr>
      </w:pPr>
    </w:p>
    <w:p w14:paraId="5E8A46FD">
      <w:pPr>
        <w:shd w:val="clear"/>
        <w:spacing w:line="360" w:lineRule="auto"/>
        <w:jc w:val="center"/>
        <w:rPr>
          <w:rFonts w:ascii="宋体" w:hAnsi="宋体" w:cs="宋体"/>
          <w:b/>
          <w:bCs/>
          <w:color w:val="auto"/>
          <w:highlight w:val="none"/>
        </w:rPr>
      </w:pPr>
    </w:p>
    <w:p w14:paraId="72D821BE">
      <w:pPr>
        <w:shd w:val="clear"/>
        <w:spacing w:line="360" w:lineRule="auto"/>
        <w:jc w:val="center"/>
        <w:rPr>
          <w:rFonts w:ascii="宋体" w:hAnsi="宋体" w:cs="宋体"/>
          <w:b/>
          <w:bCs/>
          <w:color w:val="auto"/>
          <w:highlight w:val="none"/>
        </w:rPr>
      </w:pPr>
    </w:p>
    <w:p w14:paraId="5A53E1E8">
      <w:pPr>
        <w:shd w:val="clear"/>
        <w:spacing w:line="360" w:lineRule="auto"/>
        <w:jc w:val="center"/>
        <w:rPr>
          <w:rFonts w:ascii="宋体" w:hAnsi="宋体" w:cs="宋体"/>
          <w:b/>
          <w:bCs/>
          <w:color w:val="auto"/>
          <w:highlight w:val="none"/>
        </w:rPr>
      </w:pPr>
    </w:p>
    <w:p w14:paraId="3A4BEACC">
      <w:pPr>
        <w:shd w:val="clear"/>
        <w:spacing w:line="360" w:lineRule="auto"/>
        <w:jc w:val="center"/>
        <w:rPr>
          <w:rFonts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授权委托书</w:t>
      </w:r>
    </w:p>
    <w:p w14:paraId="7DEFAD84">
      <w:pPr>
        <w:shd w:val="clear"/>
        <w:spacing w:line="360" w:lineRule="auto"/>
        <w:ind w:firstLine="422" w:firstLineChars="200"/>
        <w:rPr>
          <w:rFonts w:ascii="宋体" w:hAnsi="宋体" w:cs="宋体"/>
          <w:b/>
          <w:color w:val="auto"/>
          <w:highlight w:val="none"/>
        </w:rPr>
      </w:pPr>
    </w:p>
    <w:p w14:paraId="6FE2F71A">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本人</w:t>
      </w:r>
      <w:r>
        <w:rPr>
          <w:rFonts w:hint="eastAsia" w:ascii="宋体" w:hAnsi="宋体" w:cs="宋体"/>
          <w:bCs/>
          <w:color w:val="auto"/>
          <w:highlight w:val="none"/>
          <w:u w:val="single"/>
        </w:rPr>
        <w:t xml:space="preserve">      </w:t>
      </w:r>
      <w:r>
        <w:rPr>
          <w:rFonts w:hint="eastAsia" w:ascii="宋体" w:hAnsi="宋体" w:cs="宋体"/>
          <w:bCs/>
          <w:color w:val="auto"/>
          <w:highlight w:val="none"/>
        </w:rPr>
        <w:t>（姓名）系</w:t>
      </w:r>
      <w:r>
        <w:rPr>
          <w:rFonts w:hint="eastAsia" w:ascii="宋体" w:hAnsi="宋体" w:cs="宋体"/>
          <w:bCs/>
          <w:color w:val="auto"/>
          <w:highlight w:val="none"/>
          <w:u w:val="single"/>
        </w:rPr>
        <w:t xml:space="preserve">                </w:t>
      </w:r>
      <w:r>
        <w:rPr>
          <w:rFonts w:hint="eastAsia" w:ascii="宋体" w:hAnsi="宋体" w:cs="宋体"/>
          <w:bCs/>
          <w:color w:val="auto"/>
          <w:highlight w:val="none"/>
        </w:rPr>
        <w:t>（投标人名称）的法定代表人，现委托</w:t>
      </w:r>
      <w:r>
        <w:rPr>
          <w:rFonts w:hint="eastAsia" w:ascii="宋体" w:hAnsi="宋体" w:cs="宋体"/>
          <w:bCs/>
          <w:color w:val="auto"/>
          <w:highlight w:val="none"/>
          <w:u w:val="single"/>
        </w:rPr>
        <w:t xml:space="preserve">       </w:t>
      </w:r>
      <w:r>
        <w:rPr>
          <w:rFonts w:hint="eastAsia" w:ascii="宋体" w:hAnsi="宋体" w:cs="宋体"/>
          <w:bCs/>
          <w:color w:val="auto"/>
          <w:highlight w:val="none"/>
        </w:rPr>
        <w:t>（姓名）为我方代理人。代理人根据授权，以我方名义签署、澄清、说明、补正、递交、撤回、修改</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（项目名称/标段）投标文件、签订合同和处理有关事宜，其法律后果由我方承担。</w:t>
      </w:r>
    </w:p>
    <w:p w14:paraId="41278377">
      <w:pPr>
        <w:shd w:val="clear"/>
        <w:spacing w:line="360" w:lineRule="auto"/>
        <w:ind w:firstLine="420" w:firstLineChars="200"/>
        <w:rPr>
          <w:rFonts w:ascii="宋体" w:hAnsi="宋体" w:cs="宋体"/>
          <w:bCs/>
          <w:color w:val="auto"/>
          <w:highlight w:val="none"/>
          <w:u w:val="single"/>
        </w:rPr>
      </w:pPr>
      <w:r>
        <w:rPr>
          <w:rFonts w:hint="eastAsia" w:ascii="宋体" w:hAnsi="宋体" w:cs="宋体"/>
          <w:bCs/>
          <w:color w:val="auto"/>
          <w:highlight w:val="none"/>
        </w:rPr>
        <w:t>委托期限：</w:t>
      </w:r>
      <w:r>
        <w:rPr>
          <w:rFonts w:hint="eastAsia" w:ascii="宋体" w:hAnsi="宋体" w:cs="宋体"/>
          <w:bCs/>
          <w:color w:val="auto"/>
          <w:highlight w:val="none"/>
          <w:u w:val="single"/>
        </w:rPr>
        <w:t xml:space="preserve">                                 </w:t>
      </w:r>
      <w:r>
        <w:rPr>
          <w:rFonts w:hint="eastAsia" w:ascii="宋体" w:hAnsi="宋体" w:cs="宋体"/>
          <w:bCs/>
          <w:color w:val="auto"/>
          <w:highlight w:val="none"/>
        </w:rPr>
        <w:t>；</w:t>
      </w:r>
    </w:p>
    <w:p w14:paraId="10BCBE9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代理人无转委托权。</w:t>
      </w:r>
    </w:p>
    <w:p w14:paraId="60940174">
      <w:pPr>
        <w:shd w:val="clear"/>
        <w:spacing w:after="156"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 附：授权委托人的人身份证复印件（正反两面，加盖单位公章）</w:t>
      </w:r>
    </w:p>
    <w:p w14:paraId="27FCA5BD">
      <w:pPr>
        <w:shd w:val="clear"/>
        <w:spacing w:line="360" w:lineRule="auto"/>
        <w:ind w:firstLine="420" w:firstLineChars="200"/>
        <w:rPr>
          <w:rFonts w:ascii="宋体" w:hAnsi="宋体" w:cs="宋体"/>
          <w:bCs/>
          <w:color w:val="auto"/>
          <w:highlight w:val="none"/>
        </w:rPr>
      </w:pPr>
    </w:p>
    <w:p w14:paraId="4F372E42">
      <w:pPr>
        <w:shd w:val="clear"/>
        <w:spacing w:line="360" w:lineRule="auto"/>
        <w:ind w:firstLine="420" w:firstLineChars="200"/>
        <w:rPr>
          <w:rFonts w:ascii="宋体" w:hAnsi="宋体" w:cs="宋体"/>
          <w:bCs/>
          <w:color w:val="auto"/>
          <w:highlight w:val="none"/>
        </w:rPr>
      </w:pPr>
    </w:p>
    <w:p w14:paraId="6B45236B">
      <w:pPr>
        <w:shd w:val="clear"/>
        <w:spacing w:line="360" w:lineRule="auto"/>
        <w:ind w:firstLine="420" w:firstLineChars="200"/>
        <w:rPr>
          <w:rFonts w:ascii="宋体" w:hAnsi="宋体" w:cs="宋体"/>
          <w:bCs/>
          <w:color w:val="auto"/>
          <w:highlight w:val="none"/>
        </w:rPr>
      </w:pPr>
    </w:p>
    <w:p w14:paraId="1AD6A859">
      <w:pPr>
        <w:shd w:val="clear"/>
        <w:spacing w:line="360" w:lineRule="auto"/>
        <w:ind w:firstLine="420" w:firstLineChars="200"/>
        <w:rPr>
          <w:rFonts w:ascii="宋体" w:hAnsi="宋体" w:cs="宋体"/>
          <w:color w:val="auto"/>
          <w:highlight w:val="none"/>
        </w:rPr>
      </w:pPr>
    </w:p>
    <w:p w14:paraId="2BC231CA">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6A6909B2">
      <w:pPr>
        <w:shd w:val="clear"/>
        <w:spacing w:line="360" w:lineRule="auto"/>
        <w:ind w:firstLine="420" w:firstLineChars="200"/>
        <w:rPr>
          <w:rFonts w:ascii="宋体" w:hAnsi="宋体" w:cs="宋体"/>
          <w:color w:val="auto"/>
          <w:highlight w:val="none"/>
        </w:rPr>
      </w:pPr>
    </w:p>
    <w:p w14:paraId="098DB24B">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法定代表人：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（签字或盖章）       </w:t>
      </w:r>
    </w:p>
    <w:p w14:paraId="3B7F6CD6">
      <w:pPr>
        <w:shd w:val="clear"/>
        <w:spacing w:line="360" w:lineRule="auto"/>
        <w:ind w:firstLine="420" w:firstLineChars="200"/>
        <w:rPr>
          <w:rFonts w:ascii="宋体" w:hAnsi="宋体" w:cs="宋体"/>
          <w:color w:val="auto"/>
          <w:highlight w:val="none"/>
        </w:rPr>
      </w:pPr>
    </w:p>
    <w:p w14:paraId="6FD4EB0A">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p>
    <w:p w14:paraId="0CFEBE12">
      <w:pPr>
        <w:shd w:val="clear"/>
        <w:spacing w:line="360" w:lineRule="auto"/>
        <w:ind w:firstLine="420" w:firstLineChars="200"/>
        <w:rPr>
          <w:rFonts w:ascii="宋体" w:hAnsi="宋体" w:cs="宋体"/>
          <w:color w:val="auto"/>
          <w:highlight w:val="none"/>
        </w:rPr>
      </w:pPr>
    </w:p>
    <w:p w14:paraId="75BACDF4">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u w:val="single"/>
        </w:rPr>
        <w:t xml:space="preserve">                   </w:t>
      </w:r>
      <w:r>
        <w:rPr>
          <w:rFonts w:hint="eastAsia" w:ascii="宋体" w:hAnsi="宋体" w:cs="宋体"/>
          <w:color w:val="auto"/>
          <w:highlight w:val="none"/>
        </w:rPr>
        <w:t>（签字或盖章）</w:t>
      </w:r>
    </w:p>
    <w:p w14:paraId="5E648087">
      <w:pPr>
        <w:shd w:val="clear"/>
        <w:spacing w:line="360" w:lineRule="auto"/>
        <w:ind w:firstLine="420" w:firstLineChars="200"/>
        <w:rPr>
          <w:rFonts w:ascii="宋体" w:hAnsi="宋体" w:cs="宋体"/>
          <w:color w:val="auto"/>
          <w:highlight w:val="none"/>
        </w:rPr>
      </w:pPr>
    </w:p>
    <w:p w14:paraId="329EF36F">
      <w:pPr>
        <w:shd w:val="clear"/>
        <w:spacing w:line="360" w:lineRule="auto"/>
        <w:ind w:firstLine="420" w:firstLineChars="200"/>
        <w:jc w:val="right"/>
        <w:rPr>
          <w:rFonts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4B1F7702">
      <w:pPr>
        <w:shd w:val="clear"/>
        <w:spacing w:line="360" w:lineRule="auto"/>
        <w:ind w:firstLine="5040" w:firstLineChars="2400"/>
        <w:rPr>
          <w:rFonts w:ascii="宋体" w:hAnsi="宋体" w:cs="宋体"/>
          <w:color w:val="auto"/>
          <w:highlight w:val="none"/>
        </w:rPr>
      </w:pPr>
      <w:r>
        <w:rPr>
          <w:rFonts w:hint="eastAsia" w:ascii="宋体" w:hAnsi="宋体" w:cs="宋体"/>
          <w:color w:val="auto"/>
          <w:highlight w:val="none"/>
        </w:rPr>
        <w:t xml:space="preserve">                    </w:t>
      </w:r>
    </w:p>
    <w:p w14:paraId="70FA7BC7">
      <w:pPr>
        <w:shd w:val="clear"/>
        <w:jc w:val="right"/>
        <w:rPr>
          <w:rFonts w:ascii="宋体" w:hAnsi="宋体" w:cs="宋体"/>
          <w:b/>
          <w:color w:val="auto"/>
          <w:kern w:val="0"/>
          <w:highlight w:val="none"/>
        </w:rPr>
      </w:pPr>
      <w:r>
        <w:rPr>
          <w:rFonts w:hint="eastAsia" w:ascii="宋体" w:hAnsi="宋体" w:cs="宋体"/>
          <w:color w:val="auto"/>
          <w:highlight w:val="none"/>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4EBDEBF1">
      <w:pPr>
        <w:widowControl/>
        <w:shd w:val="clear"/>
        <w:spacing w:line="360" w:lineRule="auto"/>
        <w:jc w:val="center"/>
        <w:rPr>
          <w:rFonts w:ascii="宋体" w:hAnsi="宋体" w:cs="宋体"/>
          <w:b/>
          <w:color w:val="auto"/>
          <w:kern w:val="0"/>
          <w:highlight w:val="none"/>
        </w:rPr>
      </w:pPr>
    </w:p>
    <w:p w14:paraId="253311A5">
      <w:pPr>
        <w:widowControl/>
        <w:shd w:val="clear"/>
        <w:spacing w:line="360" w:lineRule="auto"/>
        <w:jc w:val="center"/>
        <w:rPr>
          <w:rFonts w:ascii="宋体" w:hAnsi="宋体" w:cs="宋体"/>
          <w:b/>
          <w:color w:val="auto"/>
          <w:kern w:val="0"/>
          <w:highlight w:val="none"/>
        </w:rPr>
      </w:pPr>
    </w:p>
    <w:p w14:paraId="7709E35B">
      <w:pPr>
        <w:widowControl/>
        <w:shd w:val="clear"/>
        <w:spacing w:line="360" w:lineRule="auto"/>
        <w:jc w:val="center"/>
        <w:rPr>
          <w:rFonts w:ascii="宋体" w:hAnsi="宋体" w:cs="宋体"/>
          <w:b/>
          <w:color w:val="auto"/>
          <w:kern w:val="0"/>
          <w:highlight w:val="none"/>
        </w:rPr>
      </w:pPr>
    </w:p>
    <w:p w14:paraId="23368270">
      <w:pPr>
        <w:widowControl/>
        <w:shd w:val="clear"/>
        <w:spacing w:line="360" w:lineRule="auto"/>
        <w:jc w:val="center"/>
        <w:rPr>
          <w:rFonts w:ascii="宋体" w:hAnsi="宋体" w:cs="宋体"/>
          <w:b/>
          <w:color w:val="auto"/>
          <w:kern w:val="0"/>
          <w:highlight w:val="none"/>
        </w:rPr>
      </w:pPr>
    </w:p>
    <w:p w14:paraId="590CF7D8">
      <w:pPr>
        <w:widowControl/>
        <w:shd w:val="clear"/>
        <w:spacing w:line="360" w:lineRule="auto"/>
        <w:jc w:val="center"/>
        <w:rPr>
          <w:rFonts w:ascii="宋体" w:hAnsi="宋体" w:cs="宋体"/>
          <w:b/>
          <w:color w:val="auto"/>
          <w:kern w:val="0"/>
          <w:highlight w:val="none"/>
        </w:rPr>
      </w:pPr>
    </w:p>
    <w:p w14:paraId="3DE0117C">
      <w:pPr>
        <w:widowControl/>
        <w:shd w:val="clear"/>
        <w:spacing w:line="360" w:lineRule="auto"/>
        <w:jc w:val="center"/>
        <w:rPr>
          <w:rFonts w:ascii="宋体" w:hAnsi="宋体" w:cs="宋体"/>
          <w:b/>
          <w:color w:val="auto"/>
          <w:kern w:val="0"/>
          <w:highlight w:val="none"/>
        </w:rPr>
      </w:pPr>
    </w:p>
    <w:p w14:paraId="35E4267D">
      <w:pPr>
        <w:widowControl/>
        <w:shd w:val="clear"/>
        <w:spacing w:line="360" w:lineRule="auto"/>
        <w:jc w:val="center"/>
        <w:rPr>
          <w:rFonts w:ascii="宋体" w:hAnsi="宋体" w:cs="宋体"/>
          <w:bCs/>
          <w:color w:val="auto"/>
          <w:kern w:val="0"/>
          <w:highlight w:val="none"/>
        </w:rPr>
      </w:pPr>
      <w:r>
        <w:rPr>
          <w:rFonts w:hint="eastAsia" w:ascii="宋体" w:hAnsi="宋体" w:cs="宋体"/>
          <w:b/>
          <w:color w:val="auto"/>
          <w:kern w:val="0"/>
          <w:highlight w:val="none"/>
          <w:lang w:val="en-US" w:eastAsia="zh-CN"/>
        </w:rPr>
        <w:t>四</w:t>
      </w:r>
      <w:r>
        <w:rPr>
          <w:rFonts w:hint="eastAsia" w:ascii="宋体" w:hAnsi="宋体" w:cs="宋体"/>
          <w:b/>
          <w:color w:val="auto"/>
          <w:kern w:val="0"/>
          <w:highlight w:val="none"/>
        </w:rPr>
        <w:t>、投标人企业简介</w:t>
      </w:r>
    </w:p>
    <w:p w14:paraId="35D1BC0A">
      <w:pPr>
        <w:shd w:val="clear"/>
        <w:spacing w:line="360" w:lineRule="auto"/>
        <w:jc w:val="center"/>
        <w:rPr>
          <w:rFonts w:ascii="宋体" w:hAnsi="宋体" w:cs="宋体"/>
          <w:bCs/>
          <w:color w:val="auto"/>
          <w:highlight w:val="none"/>
        </w:rPr>
      </w:pPr>
      <w:r>
        <w:rPr>
          <w:rFonts w:hint="eastAsia" w:ascii="宋体" w:hAnsi="宋体" w:cs="宋体"/>
          <w:bCs/>
          <w:color w:val="auto"/>
          <w:highlight w:val="none"/>
        </w:rPr>
        <w:t>（</w:t>
      </w:r>
      <w:r>
        <w:rPr>
          <w:rFonts w:hint="eastAsia" w:ascii="宋体" w:hAnsi="宋体" w:cs="宋体"/>
          <w:b/>
          <w:color w:val="auto"/>
          <w:highlight w:val="none"/>
        </w:rPr>
        <w:t>投标人可自行制作格式，应尽可能多的提供可以证明本企业综合实力的相关材料</w:t>
      </w:r>
      <w:r>
        <w:rPr>
          <w:rFonts w:hint="eastAsia" w:ascii="宋体" w:hAnsi="宋体" w:cs="宋体"/>
          <w:bCs/>
          <w:color w:val="auto"/>
          <w:highlight w:val="none"/>
        </w:rPr>
        <w:t>）</w:t>
      </w:r>
    </w:p>
    <w:p w14:paraId="4323FD09">
      <w:pPr>
        <w:shd w:val="clear"/>
        <w:spacing w:after="120" w:line="360" w:lineRule="auto"/>
        <w:ind w:left="420" w:leftChars="200" w:firstLine="420" w:firstLineChars="200"/>
        <w:rPr>
          <w:rFonts w:ascii="宋体" w:hAnsi="宋体" w:cs="宋体"/>
          <w:color w:val="auto"/>
          <w:highlight w:val="none"/>
        </w:rPr>
      </w:pPr>
    </w:p>
    <w:p w14:paraId="1F6EED43">
      <w:pPr>
        <w:shd w:val="clear"/>
        <w:tabs>
          <w:tab w:val="left" w:pos="420"/>
          <w:tab w:val="left" w:pos="4200"/>
        </w:tabs>
        <w:spacing w:line="360" w:lineRule="auto"/>
        <w:jc w:val="center"/>
        <w:rPr>
          <w:rFonts w:ascii="宋体" w:hAnsi="宋体" w:cs="宋体"/>
          <w:b/>
          <w:color w:val="auto"/>
          <w:highlight w:val="none"/>
        </w:rPr>
      </w:pPr>
    </w:p>
    <w:p w14:paraId="7AFEFEE8">
      <w:pPr>
        <w:shd w:val="clear"/>
        <w:tabs>
          <w:tab w:val="left" w:pos="420"/>
          <w:tab w:val="left" w:pos="4200"/>
        </w:tabs>
        <w:spacing w:line="360" w:lineRule="auto"/>
        <w:jc w:val="center"/>
        <w:rPr>
          <w:rFonts w:ascii="宋体" w:hAnsi="宋体" w:cs="宋体"/>
          <w:b/>
          <w:color w:val="auto"/>
          <w:highlight w:val="none"/>
        </w:rPr>
      </w:pPr>
    </w:p>
    <w:p w14:paraId="36977580">
      <w:pPr>
        <w:shd w:val="clear"/>
        <w:tabs>
          <w:tab w:val="left" w:pos="420"/>
          <w:tab w:val="left" w:pos="4200"/>
        </w:tabs>
        <w:spacing w:line="360" w:lineRule="auto"/>
        <w:jc w:val="center"/>
        <w:rPr>
          <w:rFonts w:ascii="宋体" w:hAnsi="宋体" w:cs="宋体"/>
          <w:b/>
          <w:color w:val="auto"/>
          <w:highlight w:val="none"/>
        </w:rPr>
      </w:pPr>
    </w:p>
    <w:p w14:paraId="127D7934">
      <w:pPr>
        <w:shd w:val="clear"/>
        <w:tabs>
          <w:tab w:val="left" w:pos="420"/>
          <w:tab w:val="left" w:pos="4200"/>
        </w:tabs>
        <w:spacing w:line="360" w:lineRule="auto"/>
        <w:jc w:val="center"/>
        <w:rPr>
          <w:rFonts w:ascii="宋体" w:hAnsi="宋体" w:cs="宋体"/>
          <w:b/>
          <w:color w:val="auto"/>
          <w:highlight w:val="none"/>
        </w:rPr>
      </w:pPr>
    </w:p>
    <w:p w14:paraId="1980C55E">
      <w:pPr>
        <w:shd w:val="clear"/>
        <w:tabs>
          <w:tab w:val="left" w:pos="420"/>
          <w:tab w:val="left" w:pos="4200"/>
        </w:tabs>
        <w:spacing w:line="360" w:lineRule="auto"/>
        <w:jc w:val="center"/>
        <w:rPr>
          <w:rFonts w:ascii="宋体" w:hAnsi="宋体" w:cs="宋体"/>
          <w:b/>
          <w:color w:val="auto"/>
          <w:highlight w:val="none"/>
        </w:rPr>
      </w:pPr>
    </w:p>
    <w:p w14:paraId="234F4AC4">
      <w:pPr>
        <w:shd w:val="clear"/>
        <w:tabs>
          <w:tab w:val="left" w:pos="420"/>
          <w:tab w:val="left" w:pos="4200"/>
        </w:tabs>
        <w:spacing w:line="360" w:lineRule="auto"/>
        <w:jc w:val="center"/>
        <w:rPr>
          <w:rFonts w:ascii="宋体" w:hAnsi="宋体" w:cs="宋体"/>
          <w:b/>
          <w:color w:val="auto"/>
          <w:highlight w:val="none"/>
        </w:rPr>
      </w:pPr>
    </w:p>
    <w:p w14:paraId="7E43A614">
      <w:pPr>
        <w:shd w:val="clear"/>
        <w:tabs>
          <w:tab w:val="left" w:pos="420"/>
          <w:tab w:val="left" w:pos="4200"/>
        </w:tabs>
        <w:spacing w:line="360" w:lineRule="auto"/>
        <w:rPr>
          <w:rFonts w:ascii="宋体" w:hAnsi="宋体" w:cs="宋体"/>
          <w:b/>
          <w:bCs/>
          <w:color w:val="auto"/>
          <w:spacing w:val="36"/>
          <w:highlight w:val="none"/>
        </w:rPr>
      </w:pPr>
    </w:p>
    <w:p w14:paraId="1A7FE2A6">
      <w:pPr>
        <w:shd w:val="clear"/>
        <w:spacing w:after="120" w:line="360" w:lineRule="auto"/>
        <w:ind w:left="420" w:leftChars="200" w:firstLine="566" w:firstLineChars="200"/>
        <w:rPr>
          <w:rFonts w:ascii="宋体" w:hAnsi="宋体" w:cs="宋体"/>
          <w:b/>
          <w:bCs/>
          <w:color w:val="auto"/>
          <w:spacing w:val="36"/>
          <w:highlight w:val="none"/>
        </w:rPr>
      </w:pPr>
    </w:p>
    <w:p w14:paraId="2C84DBFB">
      <w:pPr>
        <w:shd w:val="clear"/>
        <w:spacing w:after="120" w:line="360" w:lineRule="auto"/>
        <w:rPr>
          <w:rFonts w:ascii="宋体" w:hAnsi="宋体" w:cs="宋体"/>
          <w:b/>
          <w:bCs/>
          <w:color w:val="auto"/>
          <w:spacing w:val="36"/>
          <w:highlight w:val="none"/>
        </w:rPr>
      </w:pPr>
    </w:p>
    <w:p w14:paraId="776ED5F0">
      <w:pPr>
        <w:shd w:val="clear"/>
        <w:spacing w:after="120" w:line="360" w:lineRule="auto"/>
        <w:rPr>
          <w:rFonts w:ascii="宋体" w:hAnsi="宋体" w:cs="宋体"/>
          <w:b/>
          <w:bCs/>
          <w:color w:val="auto"/>
          <w:spacing w:val="36"/>
          <w:highlight w:val="none"/>
        </w:rPr>
      </w:pPr>
    </w:p>
    <w:p w14:paraId="31C89E63">
      <w:pPr>
        <w:shd w:val="clear"/>
        <w:spacing w:after="120" w:line="360" w:lineRule="auto"/>
        <w:rPr>
          <w:rFonts w:ascii="宋体" w:hAnsi="宋体" w:cs="宋体"/>
          <w:b/>
          <w:bCs/>
          <w:color w:val="auto"/>
          <w:spacing w:val="36"/>
          <w:highlight w:val="none"/>
        </w:rPr>
      </w:pPr>
    </w:p>
    <w:p w14:paraId="74750F7E">
      <w:pPr>
        <w:shd w:val="clear"/>
        <w:spacing w:after="120" w:line="360" w:lineRule="auto"/>
        <w:rPr>
          <w:rFonts w:ascii="宋体" w:hAnsi="宋体" w:cs="宋体"/>
          <w:b/>
          <w:bCs/>
          <w:color w:val="auto"/>
          <w:spacing w:val="36"/>
          <w:highlight w:val="none"/>
        </w:rPr>
      </w:pPr>
    </w:p>
    <w:p w14:paraId="01A787FB">
      <w:pPr>
        <w:shd w:val="clear"/>
        <w:spacing w:after="120" w:line="360" w:lineRule="auto"/>
        <w:ind w:left="420" w:leftChars="200" w:firstLine="566" w:firstLineChars="200"/>
        <w:rPr>
          <w:rFonts w:ascii="宋体" w:hAnsi="宋体" w:cs="宋体"/>
          <w:b/>
          <w:bCs/>
          <w:color w:val="auto"/>
          <w:spacing w:val="36"/>
          <w:highlight w:val="none"/>
        </w:rPr>
      </w:pPr>
    </w:p>
    <w:p w14:paraId="5CAD27F6">
      <w:pPr>
        <w:shd w:val="clear"/>
        <w:spacing w:after="120" w:line="360" w:lineRule="auto"/>
        <w:ind w:left="420" w:leftChars="200" w:firstLine="420" w:firstLineChars="200"/>
        <w:rPr>
          <w:rFonts w:ascii="宋体" w:hAnsi="宋体" w:cs="宋体"/>
          <w:color w:val="auto"/>
          <w:highlight w:val="none"/>
        </w:rPr>
      </w:pPr>
    </w:p>
    <w:p w14:paraId="6B882B1A">
      <w:pPr>
        <w:shd w:val="clear"/>
        <w:spacing w:line="360" w:lineRule="auto"/>
        <w:jc w:val="center"/>
        <w:rPr>
          <w:rFonts w:ascii="宋体" w:hAnsi="宋体" w:cs="宋体"/>
          <w:b/>
          <w:color w:val="auto"/>
          <w:highlight w:val="none"/>
        </w:rPr>
      </w:pPr>
    </w:p>
    <w:p w14:paraId="438CD4FF">
      <w:pPr>
        <w:shd w:val="clear"/>
        <w:spacing w:line="360" w:lineRule="auto"/>
        <w:jc w:val="center"/>
        <w:rPr>
          <w:rFonts w:ascii="宋体" w:hAnsi="宋体" w:cs="宋体"/>
          <w:b/>
          <w:color w:val="auto"/>
          <w:highlight w:val="none"/>
        </w:rPr>
      </w:pPr>
    </w:p>
    <w:p w14:paraId="7ED0F248">
      <w:pPr>
        <w:shd w:val="clear"/>
        <w:spacing w:line="360" w:lineRule="auto"/>
        <w:jc w:val="center"/>
        <w:rPr>
          <w:rFonts w:ascii="宋体" w:hAnsi="宋体" w:cs="宋体"/>
          <w:b/>
          <w:color w:val="auto"/>
          <w:highlight w:val="none"/>
        </w:rPr>
      </w:pPr>
    </w:p>
    <w:p w14:paraId="1C9F7A97">
      <w:pPr>
        <w:shd w:val="clear"/>
        <w:spacing w:line="360" w:lineRule="auto"/>
        <w:jc w:val="center"/>
        <w:rPr>
          <w:rFonts w:ascii="宋体" w:hAnsi="宋体" w:cs="宋体"/>
          <w:b/>
          <w:color w:val="auto"/>
          <w:highlight w:val="none"/>
        </w:rPr>
      </w:pPr>
    </w:p>
    <w:p w14:paraId="3A40CB25">
      <w:pPr>
        <w:shd w:val="clear"/>
        <w:spacing w:after="120" w:line="360" w:lineRule="auto"/>
        <w:jc w:val="center"/>
        <w:rPr>
          <w:rFonts w:ascii="宋体" w:hAnsi="宋体" w:cs="宋体"/>
          <w:b/>
          <w:color w:val="auto"/>
          <w:highlight w:val="none"/>
        </w:rPr>
      </w:pPr>
    </w:p>
    <w:p w14:paraId="5259FECA">
      <w:pPr>
        <w:pStyle w:val="13"/>
        <w:shd w:val="clear"/>
        <w:ind w:firstLine="422"/>
        <w:rPr>
          <w:rFonts w:ascii="宋体" w:hAnsi="宋体" w:cs="宋体"/>
          <w:b/>
          <w:color w:val="auto"/>
          <w:sz w:val="21"/>
          <w:szCs w:val="21"/>
          <w:highlight w:val="none"/>
        </w:rPr>
      </w:pPr>
    </w:p>
    <w:p w14:paraId="2D9C5CE1">
      <w:pPr>
        <w:pStyle w:val="12"/>
        <w:shd w:val="clear"/>
        <w:ind w:left="422" w:hanging="422"/>
        <w:rPr>
          <w:rFonts w:ascii="宋体" w:hAnsi="宋体" w:cs="宋体"/>
          <w:b/>
          <w:color w:val="auto"/>
          <w:highlight w:val="none"/>
        </w:rPr>
      </w:pPr>
    </w:p>
    <w:p w14:paraId="3A905889">
      <w:pPr>
        <w:pStyle w:val="12"/>
        <w:shd w:val="clear"/>
        <w:ind w:left="422" w:hanging="422"/>
        <w:rPr>
          <w:rFonts w:ascii="宋体" w:hAnsi="宋体" w:cs="宋体"/>
          <w:b/>
          <w:color w:val="auto"/>
          <w:highlight w:val="none"/>
        </w:rPr>
      </w:pPr>
    </w:p>
    <w:p w14:paraId="59B59AA1">
      <w:pPr>
        <w:pStyle w:val="12"/>
        <w:shd w:val="clear"/>
        <w:ind w:left="422" w:hanging="422"/>
        <w:rPr>
          <w:rFonts w:ascii="宋体" w:hAnsi="宋体" w:cs="宋体"/>
          <w:b/>
          <w:color w:val="auto"/>
          <w:highlight w:val="none"/>
        </w:rPr>
      </w:pPr>
    </w:p>
    <w:p w14:paraId="184B8A91">
      <w:pPr>
        <w:pStyle w:val="12"/>
        <w:shd w:val="clear"/>
        <w:ind w:left="422" w:hanging="422"/>
        <w:rPr>
          <w:rFonts w:ascii="宋体" w:hAnsi="宋体" w:cs="宋体"/>
          <w:b/>
          <w:color w:val="auto"/>
          <w:highlight w:val="none"/>
        </w:rPr>
      </w:pPr>
    </w:p>
    <w:p w14:paraId="5D19ABDE">
      <w:pPr>
        <w:pStyle w:val="12"/>
        <w:shd w:val="clear"/>
        <w:ind w:left="422" w:hanging="422"/>
        <w:rPr>
          <w:rFonts w:ascii="宋体" w:hAnsi="宋体" w:cs="宋体"/>
          <w:b/>
          <w:color w:val="auto"/>
          <w:highlight w:val="none"/>
        </w:rPr>
      </w:pPr>
    </w:p>
    <w:p w14:paraId="15C327C9">
      <w:pPr>
        <w:pStyle w:val="12"/>
        <w:shd w:val="clear"/>
        <w:ind w:left="422" w:hanging="422"/>
        <w:rPr>
          <w:rFonts w:ascii="宋体" w:hAnsi="宋体" w:cs="宋体"/>
          <w:b/>
          <w:color w:val="auto"/>
          <w:highlight w:val="none"/>
        </w:rPr>
      </w:pPr>
    </w:p>
    <w:p w14:paraId="510FC56A">
      <w:pPr>
        <w:shd w:val="clear"/>
        <w:jc w:val="center"/>
        <w:rPr>
          <w:rFonts w:ascii="宋体" w:hAnsi="宋体" w:cs="宋体"/>
          <w:color w:val="auto"/>
          <w:kern w:val="0"/>
          <w:highlight w:val="none"/>
        </w:rPr>
      </w:pPr>
      <w:r>
        <w:rPr>
          <w:rFonts w:hint="eastAsia" w:ascii="宋体" w:hAnsi="宋体" w:cs="宋体"/>
          <w:b/>
          <w:bCs/>
          <w:color w:val="auto"/>
          <w:kern w:val="0"/>
          <w:highlight w:val="none"/>
          <w:lang w:val="en-US" w:eastAsia="zh-CN"/>
        </w:rPr>
        <w:t>五</w:t>
      </w:r>
      <w:r>
        <w:rPr>
          <w:rFonts w:hint="eastAsia" w:ascii="宋体" w:hAnsi="宋体" w:cs="宋体"/>
          <w:b/>
          <w:bCs/>
          <w:color w:val="auto"/>
          <w:kern w:val="0"/>
          <w:highlight w:val="none"/>
        </w:rPr>
        <w:t>、资格审查资料</w:t>
      </w:r>
    </w:p>
    <w:p w14:paraId="1675B224">
      <w:pPr>
        <w:shd w:val="clear"/>
        <w:autoSpaceDE w:val="0"/>
        <w:autoSpaceDN w:val="0"/>
        <w:adjustRightInd w:val="0"/>
        <w:spacing w:line="200" w:lineRule="exact"/>
        <w:jc w:val="left"/>
        <w:rPr>
          <w:rFonts w:ascii="宋体" w:hAnsi="宋体" w:cs="宋体"/>
          <w:color w:val="auto"/>
          <w:kern w:val="0"/>
          <w:highlight w:val="none"/>
        </w:rPr>
      </w:pPr>
    </w:p>
    <w:p w14:paraId="2B96C314">
      <w:pPr>
        <w:shd w:val="clear"/>
        <w:autoSpaceDE w:val="0"/>
        <w:autoSpaceDN w:val="0"/>
        <w:adjustRightInd w:val="0"/>
        <w:spacing w:line="200" w:lineRule="exact"/>
        <w:jc w:val="left"/>
        <w:rPr>
          <w:rFonts w:ascii="宋体" w:hAnsi="宋体" w:cs="宋体"/>
          <w:color w:val="auto"/>
          <w:kern w:val="0"/>
          <w:highlight w:val="none"/>
        </w:rPr>
      </w:pPr>
      <w:r>
        <w:rPr>
          <w:rFonts w:hint="eastAsia" w:ascii="宋体" w:hAnsi="宋体" w:cs="宋体"/>
          <w:color w:val="auto"/>
          <w:kern w:val="0"/>
          <w:highlight w:val="none"/>
        </w:rPr>
        <w:br w:type="page"/>
      </w:r>
    </w:p>
    <w:bookmarkEnd w:id="335"/>
    <w:bookmarkEnd w:id="336"/>
    <w:bookmarkEnd w:id="337"/>
    <w:p w14:paraId="1D79D9DC">
      <w:pPr>
        <w:shd w:val="clear"/>
        <w:autoSpaceDE w:val="0"/>
        <w:autoSpaceDN w:val="0"/>
        <w:adjustRightInd w:val="0"/>
        <w:spacing w:before="92"/>
        <w:ind w:left="3192"/>
        <w:jc w:val="left"/>
        <w:outlineLvl w:val="1"/>
        <w:rPr>
          <w:rFonts w:ascii="宋体" w:hAnsi="宋体" w:cs="宋体"/>
          <w:b/>
          <w:bCs/>
          <w:color w:val="auto"/>
          <w:kern w:val="0"/>
          <w:highlight w:val="none"/>
        </w:rPr>
      </w:pPr>
      <w:r>
        <w:rPr>
          <w:rFonts w:hint="eastAsia" w:ascii="宋体" w:hAnsi="宋体" w:cs="宋体"/>
          <w:b/>
          <w:bCs/>
          <w:color w:val="auto"/>
          <w:kern w:val="0"/>
          <w:highlight w:val="none"/>
          <w:lang w:val="en-US" w:eastAsia="zh-CN"/>
        </w:rPr>
        <w:t>六</w:t>
      </w:r>
      <w:r>
        <w:rPr>
          <w:rFonts w:hint="eastAsia" w:ascii="宋体" w:hAnsi="宋体" w:cs="宋体"/>
          <w:b/>
          <w:bCs/>
          <w:color w:val="auto"/>
          <w:kern w:val="0"/>
          <w:highlight w:val="none"/>
        </w:rPr>
        <w:t>、其他资料</w:t>
      </w:r>
    </w:p>
    <w:p w14:paraId="103BABE6">
      <w:pPr>
        <w:shd w:val="clear"/>
        <w:autoSpaceDE w:val="0"/>
        <w:autoSpaceDN w:val="0"/>
        <w:adjustRightInd w:val="0"/>
        <w:ind w:firstLine="840" w:firstLineChars="400"/>
        <w:rPr>
          <w:rFonts w:ascii="宋体" w:hAnsi="宋体" w:cs="宋体"/>
          <w:color w:val="auto"/>
          <w:kern w:val="0"/>
          <w:highlight w:val="none"/>
        </w:rPr>
      </w:pPr>
      <w:r>
        <w:rPr>
          <w:rFonts w:hint="eastAsia" w:ascii="宋体" w:hAnsi="宋体" w:cs="宋体"/>
          <w:color w:val="auto"/>
          <w:kern w:val="0"/>
          <w:highlight w:val="none"/>
        </w:rPr>
        <w:t>根据招标文件要求，投标人认为需要补充的其他资料。</w:t>
      </w:r>
    </w:p>
    <w:p w14:paraId="06673B2F">
      <w:pPr>
        <w:shd w:val="clear"/>
        <w:spacing w:line="360" w:lineRule="auto"/>
        <w:rPr>
          <w:rFonts w:ascii="宋体" w:hAnsi="宋体" w:cs="宋体"/>
          <w:color w:val="auto"/>
          <w:highlight w:val="none"/>
        </w:rPr>
      </w:pPr>
    </w:p>
    <w:p w14:paraId="42C25DE3"/>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BA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B86524">
                          <w:pPr>
                            <w:pStyle w:val="10"/>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60B86524">
                    <w:pPr>
                      <w:pStyle w:val="10"/>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p w14:paraId="529247CF"/>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1F5575"/>
    <w:multiLevelType w:val="singleLevel"/>
    <w:tmpl w:val="DF1F5575"/>
    <w:lvl w:ilvl="0" w:tentative="0">
      <w:start w:val="8"/>
      <w:numFmt w:val="decimal"/>
      <w:lvlText w:val="%1."/>
      <w:lvlJc w:val="left"/>
      <w:pPr>
        <w:tabs>
          <w:tab w:val="left" w:pos="312"/>
        </w:tabs>
      </w:pPr>
    </w:lvl>
  </w:abstractNum>
  <w:abstractNum w:abstractNumId="1">
    <w:nsid w:val="E18C076C"/>
    <w:multiLevelType w:val="singleLevel"/>
    <w:tmpl w:val="E18C076C"/>
    <w:lvl w:ilvl="0" w:tentative="0">
      <w:start w:val="3"/>
      <w:numFmt w:val="chineseCounting"/>
      <w:suff w:val="nothing"/>
      <w:lvlText w:val="%1、"/>
      <w:lvlJc w:val="left"/>
      <w:rPr>
        <w:rFonts w:hint="eastAsia"/>
      </w:rPr>
    </w:lvl>
  </w:abstractNum>
  <w:abstractNum w:abstractNumId="2">
    <w:nsid w:val="55136AA3"/>
    <w:multiLevelType w:val="singleLevel"/>
    <w:tmpl w:val="55136AA3"/>
    <w:lvl w:ilvl="0" w:tentative="0">
      <w:start w:val="1"/>
      <w:numFmt w:val="decimal"/>
      <w:suff w:val="nothing"/>
      <w:lvlText w:val="%1、"/>
      <w:lvlJc w:val="left"/>
      <w:pPr>
        <w:tabs>
          <w:tab w:val="left" w:pos="0"/>
        </w:tabs>
        <w:ind w:left="0" w:firstLine="0"/>
      </w:pPr>
    </w:lvl>
  </w:abstractNum>
  <w:abstractNum w:abstractNumId="3">
    <w:nsid w:val="57BBA68D"/>
    <w:multiLevelType w:val="singleLevel"/>
    <w:tmpl w:val="57BBA68D"/>
    <w:lvl w:ilvl="0" w:tentative="0">
      <w:start w:val="1"/>
      <w:numFmt w:val="decimal"/>
      <w:suff w:val="nothing"/>
      <w:lvlText w:val="（%1）"/>
      <w:lvlJc w:val="left"/>
    </w:lvl>
  </w:abstractNum>
  <w:abstractNum w:abstractNumId="4">
    <w:nsid w:val="635738F2"/>
    <w:multiLevelType w:val="singleLevel"/>
    <w:tmpl w:val="635738F2"/>
    <w:lvl w:ilvl="0" w:tentative="0">
      <w:start w:val="2"/>
      <w:numFmt w:val="decimal"/>
      <w:suff w:val="nothing"/>
      <w:lvlText w:val="%1、"/>
      <w:lvlJc w:val="left"/>
    </w:lvl>
  </w:abstractNum>
  <w:abstractNum w:abstractNumId="5">
    <w:nsid w:val="7BC58B4E"/>
    <w:multiLevelType w:val="singleLevel"/>
    <w:tmpl w:val="7BC58B4E"/>
    <w:lvl w:ilvl="0" w:tentative="0">
      <w:start w:val="1"/>
      <w:numFmt w:val="decimal"/>
      <w:suff w:val="nothing"/>
      <w:lvlText w:val="%1、"/>
      <w:lvlJc w:val="left"/>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44CA4"/>
    <w:rsid w:val="03331F25"/>
    <w:rsid w:val="141C1FA9"/>
    <w:rsid w:val="2BFA09B4"/>
    <w:rsid w:val="30913A06"/>
    <w:rsid w:val="32B60929"/>
    <w:rsid w:val="34ED54E4"/>
    <w:rsid w:val="352970BB"/>
    <w:rsid w:val="37AD5682"/>
    <w:rsid w:val="3AF70BD4"/>
    <w:rsid w:val="3F08417F"/>
    <w:rsid w:val="3F4C6CB0"/>
    <w:rsid w:val="45945E56"/>
    <w:rsid w:val="470D3C06"/>
    <w:rsid w:val="4BC36FDC"/>
    <w:rsid w:val="4ED75618"/>
    <w:rsid w:val="4F744CA4"/>
    <w:rsid w:val="519F1808"/>
    <w:rsid w:val="5AC11235"/>
    <w:rsid w:val="60FF41BB"/>
    <w:rsid w:val="65864B11"/>
    <w:rsid w:val="683A1C07"/>
    <w:rsid w:val="68B013FC"/>
    <w:rsid w:val="6AD615EF"/>
    <w:rsid w:val="6C371D45"/>
    <w:rsid w:val="6D9C46EC"/>
    <w:rsid w:val="71DE1BCB"/>
    <w:rsid w:val="74FB0528"/>
    <w:rsid w:val="7A881571"/>
    <w:rsid w:val="FDBBD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8"/>
    <w:qFormat/>
    <w:uiPriority w:val="0"/>
    <w:pPr>
      <w:keepNext/>
      <w:keepLines/>
      <w:spacing w:before="340" w:after="330" w:line="576"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5">
    <w:name w:val="toc 7"/>
    <w:basedOn w:val="1"/>
    <w:next w:val="1"/>
    <w:qFormat/>
    <w:uiPriority w:val="0"/>
    <w:pPr>
      <w:ind w:left="1260"/>
      <w:jc w:val="left"/>
    </w:pPr>
    <w:rPr>
      <w:sz w:val="18"/>
      <w:szCs w:val="18"/>
    </w:rPr>
  </w:style>
  <w:style w:type="paragraph" w:styleId="6">
    <w:name w:val="index 5"/>
    <w:basedOn w:val="1"/>
    <w:next w:val="1"/>
    <w:qFormat/>
    <w:uiPriority w:val="99"/>
    <w:pPr>
      <w:ind w:left="800" w:leftChars="800"/>
    </w:pPr>
  </w:style>
  <w:style w:type="paragraph" w:styleId="7">
    <w:name w:val="annotation text"/>
    <w:basedOn w:val="1"/>
    <w:qFormat/>
    <w:uiPriority w:val="0"/>
    <w:pPr>
      <w:jc w:val="left"/>
    </w:pPr>
  </w:style>
  <w:style w:type="paragraph" w:styleId="8">
    <w:name w:val="Body Text Indent"/>
    <w:basedOn w:val="1"/>
    <w:next w:val="9"/>
    <w:qFormat/>
    <w:uiPriority w:val="0"/>
    <w:pPr>
      <w:spacing w:after="120"/>
      <w:ind w:left="420" w:leftChars="200"/>
    </w:pPr>
  </w:style>
  <w:style w:type="paragraph" w:styleId="9">
    <w:name w:val="envelope return"/>
    <w:basedOn w:val="1"/>
    <w:next w:val="5"/>
    <w:qFormat/>
    <w:uiPriority w:val="0"/>
    <w:pPr>
      <w:widowControl/>
    </w:pPr>
    <w:rPr>
      <w:kern w:val="0"/>
      <w:sz w:val="22"/>
      <w:szCs w:val="20"/>
      <w:lang w:val="en-GB" w:eastAsia="en-US"/>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toc 1"/>
    <w:basedOn w:val="1"/>
    <w:next w:val="1"/>
    <w:qFormat/>
    <w:uiPriority w:val="0"/>
  </w:style>
  <w:style w:type="paragraph" w:styleId="12">
    <w:name w:val="List"/>
    <w:basedOn w:val="1"/>
    <w:unhideWhenUsed/>
    <w:qFormat/>
    <w:uiPriority w:val="0"/>
    <w:pPr>
      <w:ind w:left="200" w:hanging="200" w:hangingChars="200"/>
      <w:contextualSpacing/>
    </w:pPr>
  </w:style>
  <w:style w:type="paragraph" w:styleId="13">
    <w:name w:val="Body Text First Indent 2"/>
    <w:basedOn w:val="8"/>
    <w:next w:val="12"/>
    <w:qFormat/>
    <w:uiPriority w:val="0"/>
    <w:pPr>
      <w:spacing w:after="0" w:line="360" w:lineRule="auto"/>
      <w:ind w:left="0" w:leftChars="0" w:firstLine="480" w:firstLineChars="200"/>
    </w:pPr>
    <w:rPr>
      <w:sz w:val="24"/>
      <w:szCs w:val="24"/>
    </w:rPr>
  </w:style>
  <w:style w:type="character" w:styleId="16">
    <w:name w:val="Hyperlink"/>
    <w:basedOn w:val="15"/>
    <w:qFormat/>
    <w:uiPriority w:val="0"/>
    <w:rPr>
      <w:rFonts w:cs="Times New Roman"/>
      <w:color w:val="0000FF"/>
      <w:u w:val="single"/>
    </w:rPr>
  </w:style>
  <w:style w:type="character" w:styleId="17">
    <w:name w:val="annotation reference"/>
    <w:basedOn w:val="15"/>
    <w:qFormat/>
    <w:uiPriority w:val="0"/>
    <w:rPr>
      <w:sz w:val="21"/>
      <w:szCs w:val="21"/>
    </w:rPr>
  </w:style>
  <w:style w:type="character" w:customStyle="1" w:styleId="18">
    <w:name w:val="标题 1 字符"/>
    <w:basedOn w:val="15"/>
    <w:link w:val="3"/>
    <w:autoRedefine/>
    <w:qFormat/>
    <w:uiPriority w:val="0"/>
    <w:rPr>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15768</Words>
  <Characters>16693</Characters>
  <Lines>0</Lines>
  <Paragraphs>0</Paragraphs>
  <TotalTime>25</TotalTime>
  <ScaleCrop>false</ScaleCrop>
  <LinksUpToDate>false</LinksUpToDate>
  <CharactersWithSpaces>17002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2026-10-09T18:25:00Z</dcterms:created>
  <dc:creator>Administrator</dc:creator>
  <cp:lastModifiedBy>刘凯伦</cp:lastModifiedBy>
  <cp:lastPrinted>2026-10-19T15:19:00Z</cp:lastPrinted>
  <dcterms:modified xsi:type="dcterms:W3CDTF">2026-10-26T08:27:17Z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D79EA0FAAAA341889C869DD47B8D831E_13</vt:lpwstr>
  </property>
  <property fmtid="{D5CDD505-2E9C-101B-9397-08002B2CF9AE}" pid="4" name="KSOTemplateDocerSaveRecord">
    <vt:lpwstr>eyJoZGlkIjoiNzI2N2RiNTk5Njk5NWI1NmUwZjZiYTJlNmNmMGJmZjQiLCJ1c2VySWQiOiIzNzkwMDYwOTUifQ==</vt:lpwstr>
  </property>
</Properties>
</file>