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278C7C">
      <w:pPr>
        <w:autoSpaceDE w:val="0"/>
        <w:autoSpaceDN w:val="0"/>
        <w:adjustRightInd w:val="0"/>
        <w:snapToGrid w:val="0"/>
        <w:spacing w:line="360" w:lineRule="auto"/>
        <w:jc w:val="center"/>
        <w:rPr>
          <w:rFonts w:ascii="宋体" w:hAnsi="宋体" w:cs="宋体"/>
          <w:b/>
          <w:bCs/>
          <w:sz w:val="48"/>
          <w:szCs w:val="48"/>
        </w:rPr>
      </w:pPr>
      <w:r>
        <w:rPr>
          <w:rFonts w:hint="eastAsia" w:ascii="宋体" w:hAnsi="宋体" w:cs="宋体"/>
          <w:b/>
          <w:bCs/>
          <w:sz w:val="48"/>
          <w:szCs w:val="48"/>
          <w:lang w:eastAsia="zh-CN"/>
        </w:rPr>
        <w:t>2026-2027年阜充电充电桩维保及场站零星维修供应商库</w:t>
      </w:r>
    </w:p>
    <w:p w14:paraId="0A579899">
      <w:pPr>
        <w:autoSpaceDE w:val="0"/>
        <w:autoSpaceDN w:val="0"/>
        <w:adjustRightInd w:val="0"/>
        <w:snapToGrid w:val="0"/>
        <w:spacing w:line="360" w:lineRule="auto"/>
        <w:rPr>
          <w:rFonts w:hint="eastAsia" w:ascii="宋体" w:hAnsi="宋体" w:cs="宋体"/>
          <w:b/>
          <w:bCs/>
          <w:spacing w:val="20"/>
          <w:kern w:val="0"/>
          <w:sz w:val="80"/>
          <w:szCs w:val="80"/>
        </w:rPr>
      </w:pPr>
    </w:p>
    <w:p w14:paraId="6AA32F2A">
      <w:pPr>
        <w:autoSpaceDE w:val="0"/>
        <w:autoSpaceDN w:val="0"/>
        <w:adjustRightInd w:val="0"/>
        <w:snapToGrid w:val="0"/>
        <w:spacing w:line="360" w:lineRule="auto"/>
        <w:jc w:val="center"/>
        <w:rPr>
          <w:rFonts w:ascii="宋体" w:hAnsi="宋体" w:cs="宋体"/>
          <w:b/>
          <w:bCs/>
          <w:sz w:val="48"/>
          <w:szCs w:val="48"/>
        </w:rPr>
      </w:pPr>
      <w:r>
        <w:rPr>
          <w:rFonts w:hint="eastAsia" w:ascii="宋体" w:hAnsi="宋体" w:cs="宋体"/>
          <w:b/>
          <w:bCs/>
          <w:spacing w:val="20"/>
          <w:kern w:val="0"/>
          <w:sz w:val="80"/>
          <w:szCs w:val="80"/>
          <w:lang w:val="en-US" w:eastAsia="zh-CN"/>
        </w:rPr>
        <w:t>遴选</w:t>
      </w:r>
      <w:r>
        <w:rPr>
          <w:rFonts w:hint="eastAsia" w:ascii="宋体" w:hAnsi="宋体" w:cs="宋体"/>
          <w:b/>
          <w:bCs/>
          <w:spacing w:val="20"/>
          <w:kern w:val="0"/>
          <w:sz w:val="80"/>
          <w:szCs w:val="80"/>
        </w:rPr>
        <w:t>文件</w:t>
      </w:r>
    </w:p>
    <w:p w14:paraId="74DE2558">
      <w:pPr>
        <w:autoSpaceDE w:val="0"/>
        <w:autoSpaceDN w:val="0"/>
        <w:adjustRightInd w:val="0"/>
        <w:snapToGrid w:val="0"/>
        <w:spacing w:line="360" w:lineRule="auto"/>
        <w:jc w:val="center"/>
        <w:rPr>
          <w:rFonts w:hint="eastAsia" w:ascii="宋体" w:hAnsi="宋体" w:eastAsia="宋体" w:cs="宋体"/>
          <w:b/>
          <w:bCs/>
          <w:spacing w:val="20"/>
          <w:kern w:val="0"/>
          <w:sz w:val="48"/>
          <w:szCs w:val="48"/>
          <w:u w:val="single"/>
          <w:lang w:val="en-US" w:eastAsia="zh-CN"/>
        </w:rPr>
      </w:pPr>
      <w:r>
        <w:rPr>
          <w:rFonts w:hint="eastAsia" w:ascii="宋体" w:hAnsi="宋体" w:cs="宋体"/>
          <w:b/>
          <w:bCs/>
          <w:spacing w:val="20"/>
          <w:kern w:val="0"/>
          <w:sz w:val="32"/>
          <w:szCs w:val="32"/>
        </w:rPr>
        <w:t>项目编号：</w:t>
      </w:r>
      <w:r>
        <w:rPr>
          <w:rFonts w:hint="eastAsia" w:ascii="宋体" w:hAnsi="宋体" w:cs="宋体"/>
          <w:b/>
          <w:bCs/>
          <w:sz w:val="40"/>
          <w:szCs w:val="40"/>
        </w:rPr>
        <w:t>FYCDZ-</w:t>
      </w:r>
      <w:r>
        <w:rPr>
          <w:rFonts w:hint="eastAsia" w:ascii="宋体" w:hAnsi="宋体" w:cs="宋体"/>
          <w:b/>
          <w:bCs/>
          <w:sz w:val="40"/>
          <w:szCs w:val="40"/>
          <w:lang w:val="en-US" w:eastAsia="zh-CN"/>
        </w:rPr>
        <w:t>XMJS</w:t>
      </w:r>
      <w:r>
        <w:rPr>
          <w:rFonts w:hint="eastAsia" w:ascii="宋体" w:hAnsi="宋体" w:cs="宋体"/>
          <w:b/>
          <w:bCs/>
          <w:sz w:val="40"/>
          <w:szCs w:val="40"/>
        </w:rPr>
        <w:t>-2026-0</w:t>
      </w:r>
      <w:r>
        <w:rPr>
          <w:rFonts w:hint="eastAsia" w:ascii="宋体" w:hAnsi="宋体" w:cs="宋体"/>
          <w:b/>
          <w:bCs/>
          <w:sz w:val="40"/>
          <w:szCs w:val="40"/>
          <w:lang w:val="en-US" w:eastAsia="zh-CN"/>
        </w:rPr>
        <w:t>2</w:t>
      </w:r>
    </w:p>
    <w:p w14:paraId="771582E0">
      <w:pPr>
        <w:spacing w:line="360" w:lineRule="auto"/>
        <w:rPr>
          <w:rFonts w:ascii="宋体" w:hAnsi="宋体" w:cs="宋体"/>
          <w:b/>
          <w:bCs/>
          <w:sz w:val="32"/>
          <w:szCs w:val="32"/>
        </w:rPr>
      </w:pPr>
    </w:p>
    <w:p w14:paraId="5DD4DF50">
      <w:pPr>
        <w:spacing w:line="360" w:lineRule="auto"/>
        <w:rPr>
          <w:rFonts w:ascii="宋体" w:hAnsi="宋体" w:cs="宋体"/>
          <w:b/>
          <w:bCs/>
          <w:sz w:val="32"/>
          <w:szCs w:val="32"/>
        </w:rPr>
      </w:pPr>
    </w:p>
    <w:p w14:paraId="718A1CF2">
      <w:pPr>
        <w:spacing w:line="360" w:lineRule="auto"/>
        <w:rPr>
          <w:rFonts w:ascii="宋体" w:hAnsi="宋体" w:cs="宋体"/>
          <w:b/>
          <w:bCs/>
          <w:sz w:val="32"/>
          <w:szCs w:val="32"/>
        </w:rPr>
      </w:pPr>
    </w:p>
    <w:p w14:paraId="0671F7DF">
      <w:pPr>
        <w:spacing w:line="360" w:lineRule="auto"/>
        <w:rPr>
          <w:rFonts w:ascii="宋体" w:hAnsi="宋体" w:cs="宋体"/>
          <w:b/>
          <w:bCs/>
          <w:sz w:val="32"/>
          <w:szCs w:val="32"/>
        </w:rPr>
      </w:pPr>
    </w:p>
    <w:p w14:paraId="38043A61">
      <w:pPr>
        <w:spacing w:line="360" w:lineRule="auto"/>
        <w:rPr>
          <w:rFonts w:ascii="宋体" w:hAnsi="宋体" w:cs="宋体"/>
          <w:b/>
          <w:bCs/>
          <w:sz w:val="32"/>
          <w:szCs w:val="32"/>
        </w:rPr>
      </w:pPr>
    </w:p>
    <w:p w14:paraId="00EC385C">
      <w:pPr>
        <w:spacing w:line="360" w:lineRule="auto"/>
        <w:rPr>
          <w:rFonts w:ascii="宋体" w:hAnsi="宋体" w:cs="宋体"/>
          <w:b/>
          <w:bCs/>
          <w:sz w:val="32"/>
          <w:szCs w:val="32"/>
        </w:rPr>
      </w:pPr>
    </w:p>
    <w:p w14:paraId="7236FB6E">
      <w:pPr>
        <w:spacing w:line="360" w:lineRule="auto"/>
        <w:rPr>
          <w:rFonts w:ascii="宋体" w:hAnsi="宋体" w:cs="宋体"/>
          <w:b/>
          <w:bCs/>
          <w:sz w:val="32"/>
          <w:szCs w:val="32"/>
        </w:rPr>
      </w:pPr>
    </w:p>
    <w:p w14:paraId="6459174A">
      <w:pPr>
        <w:spacing w:line="360" w:lineRule="auto"/>
        <w:ind w:firstLine="640" w:firstLineChars="200"/>
        <w:jc w:val="center"/>
        <w:rPr>
          <w:rFonts w:ascii="宋体" w:hAnsi="宋体" w:cs="宋体"/>
          <w:b/>
          <w:bCs/>
          <w:spacing w:val="20"/>
          <w:kern w:val="0"/>
          <w:sz w:val="32"/>
          <w:szCs w:val="32"/>
          <w:u w:val="single"/>
        </w:rPr>
      </w:pPr>
      <w:r>
        <w:rPr>
          <w:rFonts w:hint="eastAsia" w:ascii="宋体" w:hAnsi="宋体" w:cs="宋体"/>
          <w:b/>
          <w:bCs/>
          <w:sz w:val="32"/>
          <w:szCs w:val="32"/>
        </w:rPr>
        <w:t>招   标   人：</w:t>
      </w:r>
      <w:r>
        <w:rPr>
          <w:rFonts w:hint="eastAsia" w:ascii="宋体" w:hAnsi="宋体" w:cs="宋体"/>
          <w:b/>
          <w:sz w:val="30"/>
          <w:szCs w:val="30"/>
          <w:u w:val="single"/>
        </w:rPr>
        <w:t>阜阳充电桩有限责任公司</w:t>
      </w:r>
    </w:p>
    <w:p w14:paraId="3286C108">
      <w:pPr>
        <w:spacing w:line="360" w:lineRule="auto"/>
        <w:jc w:val="left"/>
        <w:rPr>
          <w:rFonts w:ascii="宋体" w:hAnsi="宋体" w:cs="宋体"/>
          <w:b/>
          <w:bCs/>
          <w:sz w:val="32"/>
          <w:szCs w:val="32"/>
          <w:u w:val="single"/>
        </w:rPr>
      </w:pPr>
    </w:p>
    <w:p w14:paraId="7ACC3D30">
      <w:pPr>
        <w:spacing w:line="360" w:lineRule="auto"/>
        <w:jc w:val="center"/>
        <w:rPr>
          <w:rFonts w:ascii="宋体" w:hAnsi="宋体" w:cs="宋体"/>
          <w:b/>
          <w:bCs/>
          <w:sz w:val="32"/>
          <w:szCs w:val="32"/>
        </w:rPr>
      </w:pPr>
      <w:r>
        <w:rPr>
          <w:rFonts w:hint="eastAsia" w:ascii="宋体" w:hAnsi="宋体" w:cs="宋体"/>
          <w:b/>
          <w:bCs/>
          <w:sz w:val="32"/>
          <w:szCs w:val="32"/>
          <w:u w:val="single"/>
        </w:rPr>
        <w:t>20</w:t>
      </w:r>
      <w:r>
        <w:rPr>
          <w:rFonts w:hint="eastAsia" w:ascii="宋体" w:hAnsi="宋体" w:cs="宋体"/>
          <w:b/>
          <w:bCs/>
          <w:sz w:val="32"/>
          <w:szCs w:val="32"/>
          <w:u w:val="single"/>
          <w:lang w:val="en-US" w:eastAsia="zh-CN"/>
        </w:rPr>
        <w:t>26</w:t>
      </w:r>
      <w:r>
        <w:rPr>
          <w:rFonts w:hint="eastAsia" w:ascii="宋体" w:hAnsi="宋体" w:cs="宋体"/>
          <w:b/>
          <w:bCs/>
          <w:sz w:val="32"/>
          <w:szCs w:val="32"/>
        </w:rPr>
        <w:t>年</w:t>
      </w:r>
      <w:r>
        <w:rPr>
          <w:rFonts w:hint="eastAsia" w:ascii="宋体" w:hAnsi="宋体" w:cs="宋体"/>
          <w:b/>
          <w:bCs/>
          <w:sz w:val="32"/>
          <w:szCs w:val="32"/>
          <w:u w:val="single"/>
        </w:rPr>
        <w:t xml:space="preserve"> </w:t>
      </w:r>
      <w:r>
        <w:rPr>
          <w:rFonts w:hint="eastAsia" w:ascii="宋体" w:hAnsi="宋体" w:cs="宋体"/>
          <w:b/>
          <w:bCs/>
          <w:sz w:val="32"/>
          <w:szCs w:val="32"/>
          <w:u w:val="single"/>
          <w:lang w:val="en-US" w:eastAsia="zh-CN"/>
        </w:rPr>
        <w:t>10</w:t>
      </w:r>
      <w:r>
        <w:rPr>
          <w:rFonts w:hint="eastAsia" w:ascii="宋体" w:hAnsi="宋体" w:cs="宋体"/>
          <w:b/>
          <w:bCs/>
          <w:sz w:val="32"/>
          <w:szCs w:val="32"/>
          <w:u w:val="single"/>
        </w:rPr>
        <w:t xml:space="preserve"> </w:t>
      </w:r>
      <w:r>
        <w:rPr>
          <w:rFonts w:hint="eastAsia" w:ascii="宋体" w:hAnsi="宋体" w:cs="宋体"/>
          <w:b/>
          <w:bCs/>
          <w:sz w:val="32"/>
          <w:szCs w:val="32"/>
        </w:rPr>
        <w:t>月</w:t>
      </w:r>
    </w:p>
    <w:p w14:paraId="3A6600BC">
      <w:pPr>
        <w:spacing w:after="468" w:afterLines="150" w:line="360" w:lineRule="auto"/>
        <w:ind w:firstLine="437"/>
        <w:jc w:val="center"/>
        <w:rPr>
          <w:rFonts w:ascii="宋体" w:hAnsi="宋体" w:cs="宋体"/>
          <w:b/>
          <w:bCs/>
          <w:sz w:val="44"/>
          <w:szCs w:val="44"/>
        </w:rPr>
      </w:pPr>
    </w:p>
    <w:p w14:paraId="76A08BA9">
      <w:pPr>
        <w:spacing w:before="0" w:beforeLines="0" w:after="0" w:afterLines="0" w:line="240" w:lineRule="auto"/>
        <w:ind w:left="0" w:leftChars="0" w:right="0" w:rightChars="0" w:firstLine="0" w:firstLineChars="0"/>
        <w:jc w:val="center"/>
        <w:rPr>
          <w:rFonts w:ascii="宋体" w:hAnsi="宋体" w:eastAsia="宋体" w:cs="Times New Roman"/>
          <w:kern w:val="2"/>
          <w:sz w:val="21"/>
          <w:szCs w:val="21"/>
          <w:lang w:val="en-US" w:eastAsia="zh-CN" w:bidi="ar-SA"/>
        </w:rPr>
      </w:pPr>
    </w:p>
    <w:p w14:paraId="38112C84">
      <w:pPr>
        <w:spacing w:before="0" w:beforeLines="0" w:after="0" w:afterLines="0" w:line="240" w:lineRule="auto"/>
        <w:ind w:left="0" w:leftChars="0" w:right="0" w:rightChars="0" w:firstLine="0" w:firstLineChars="0"/>
        <w:jc w:val="center"/>
        <w:rPr>
          <w:rFonts w:ascii="宋体" w:hAnsi="宋体" w:eastAsia="宋体" w:cs="Times New Roman"/>
          <w:kern w:val="2"/>
          <w:sz w:val="21"/>
          <w:szCs w:val="21"/>
          <w:lang w:val="en-US" w:eastAsia="zh-CN" w:bidi="ar-SA"/>
        </w:rPr>
      </w:pPr>
    </w:p>
    <w:p w14:paraId="0375EE1A">
      <w:pPr>
        <w:spacing w:before="0" w:beforeLines="0" w:after="0" w:afterLines="0" w:line="240" w:lineRule="auto"/>
        <w:ind w:left="0" w:leftChars="0" w:right="0" w:rightChars="0" w:firstLine="0" w:firstLineChars="0"/>
        <w:jc w:val="center"/>
        <w:rPr>
          <w:rFonts w:ascii="宋体" w:hAnsi="宋体" w:eastAsia="宋体"/>
          <w:sz w:val="36"/>
          <w:szCs w:val="36"/>
        </w:rPr>
      </w:pPr>
      <w:r>
        <w:rPr>
          <w:rFonts w:ascii="宋体" w:hAnsi="宋体" w:eastAsia="宋体"/>
          <w:sz w:val="36"/>
          <w:szCs w:val="36"/>
        </w:rPr>
        <w:t>目录</w:t>
      </w:r>
    </w:p>
    <w:p w14:paraId="0B7302BE">
      <w:pPr>
        <w:pStyle w:val="13"/>
        <w:bidi w:val="0"/>
      </w:pPr>
    </w:p>
    <w:p w14:paraId="78A7A86B">
      <w:pPr>
        <w:pStyle w:val="13"/>
        <w:tabs>
          <w:tab w:val="right" w:leader="dot" w:pos="10082"/>
        </w:tabs>
      </w:pPr>
      <w:r>
        <w:rPr>
          <w:sz w:val="36"/>
          <w:szCs w:val="36"/>
        </w:rPr>
        <w:fldChar w:fldCharType="begin"/>
      </w:r>
      <w:r>
        <w:rPr>
          <w:sz w:val="36"/>
          <w:szCs w:val="36"/>
        </w:rPr>
        <w:instrText xml:space="preserve">TOC \o "1-1" \h \u </w:instrText>
      </w:r>
      <w:r>
        <w:rPr>
          <w:sz w:val="36"/>
          <w:szCs w:val="36"/>
        </w:rPr>
        <w:fldChar w:fldCharType="separate"/>
      </w:r>
      <w:r>
        <w:rPr>
          <w:szCs w:val="36"/>
        </w:rPr>
        <w:fldChar w:fldCharType="begin"/>
      </w:r>
      <w:r>
        <w:rPr>
          <w:szCs w:val="36"/>
        </w:rPr>
        <w:instrText xml:space="preserve"> HYPERLINK \l _Toc31566 </w:instrText>
      </w:r>
      <w:r>
        <w:rPr>
          <w:szCs w:val="36"/>
        </w:rPr>
        <w:fldChar w:fldCharType="separate"/>
      </w:r>
      <w:r>
        <w:rPr>
          <w:rFonts w:hint="eastAsia" w:ascii="宋体" w:hAnsi="宋体" w:cs="宋体"/>
          <w:szCs w:val="32"/>
        </w:rPr>
        <w:t xml:space="preserve">第一章 </w:t>
      </w:r>
      <w:r>
        <w:rPr>
          <w:rFonts w:hint="eastAsia" w:ascii="宋体" w:hAnsi="宋体" w:cs="宋体"/>
          <w:szCs w:val="32"/>
          <w:lang w:val="en-US" w:eastAsia="zh-CN"/>
        </w:rPr>
        <w:t>遴选</w:t>
      </w:r>
      <w:r>
        <w:rPr>
          <w:rFonts w:hint="eastAsia" w:ascii="宋体" w:hAnsi="宋体" w:cs="宋体"/>
          <w:szCs w:val="32"/>
        </w:rPr>
        <w:t>公告</w:t>
      </w:r>
      <w:r>
        <w:tab/>
      </w:r>
      <w:r>
        <w:fldChar w:fldCharType="begin"/>
      </w:r>
      <w:r>
        <w:instrText xml:space="preserve"> PAGEREF _Toc31566 \h </w:instrText>
      </w:r>
      <w:r>
        <w:fldChar w:fldCharType="separate"/>
      </w:r>
      <w:r>
        <w:t>1</w:t>
      </w:r>
      <w:r>
        <w:fldChar w:fldCharType="end"/>
      </w:r>
      <w:r>
        <w:rPr>
          <w:szCs w:val="36"/>
        </w:rPr>
        <w:fldChar w:fldCharType="end"/>
      </w:r>
    </w:p>
    <w:p w14:paraId="1C0AB73B">
      <w:pPr>
        <w:pStyle w:val="13"/>
        <w:tabs>
          <w:tab w:val="right" w:leader="dot" w:pos="10082"/>
        </w:tabs>
      </w:pPr>
      <w:r>
        <w:rPr>
          <w:szCs w:val="36"/>
        </w:rPr>
        <w:fldChar w:fldCharType="begin"/>
      </w:r>
      <w:r>
        <w:rPr>
          <w:szCs w:val="36"/>
        </w:rPr>
        <w:instrText xml:space="preserve"> HYPERLINK \l _Toc26234 </w:instrText>
      </w:r>
      <w:r>
        <w:rPr>
          <w:szCs w:val="36"/>
        </w:rPr>
        <w:fldChar w:fldCharType="separate"/>
      </w:r>
      <w:r>
        <w:rPr>
          <w:rFonts w:hint="eastAsia" w:ascii="宋体" w:hAnsi="宋体" w:cs="宋体"/>
          <w:szCs w:val="32"/>
        </w:rPr>
        <w:t>第二章 投标人须知</w:t>
      </w:r>
      <w:r>
        <w:tab/>
      </w:r>
      <w:r>
        <w:fldChar w:fldCharType="begin"/>
      </w:r>
      <w:r>
        <w:instrText xml:space="preserve"> PAGEREF _Toc26234 \h </w:instrText>
      </w:r>
      <w:r>
        <w:fldChar w:fldCharType="separate"/>
      </w:r>
      <w:r>
        <w:t>4</w:t>
      </w:r>
      <w:r>
        <w:fldChar w:fldCharType="end"/>
      </w:r>
      <w:r>
        <w:rPr>
          <w:szCs w:val="36"/>
        </w:rPr>
        <w:fldChar w:fldCharType="end"/>
      </w:r>
    </w:p>
    <w:p w14:paraId="279D5B61">
      <w:pPr>
        <w:pStyle w:val="13"/>
        <w:tabs>
          <w:tab w:val="right" w:leader="dot" w:pos="10082"/>
        </w:tabs>
      </w:pPr>
      <w:r>
        <w:rPr>
          <w:szCs w:val="36"/>
        </w:rPr>
        <w:fldChar w:fldCharType="begin"/>
      </w:r>
      <w:r>
        <w:rPr>
          <w:szCs w:val="36"/>
        </w:rPr>
        <w:instrText xml:space="preserve"> HYPERLINK \l _Toc26510 </w:instrText>
      </w:r>
      <w:r>
        <w:rPr>
          <w:szCs w:val="36"/>
        </w:rPr>
        <w:fldChar w:fldCharType="separate"/>
      </w:r>
      <w:r>
        <w:rPr>
          <w:rFonts w:hint="eastAsia" w:ascii="宋体" w:hAnsi="宋体" w:cs="宋体"/>
          <w:szCs w:val="32"/>
        </w:rPr>
        <w:t>第三章 评标办法</w:t>
      </w:r>
      <w:r>
        <w:tab/>
      </w:r>
      <w:r>
        <w:fldChar w:fldCharType="begin"/>
      </w:r>
      <w:r>
        <w:instrText xml:space="preserve"> PAGEREF _Toc26510 \h </w:instrText>
      </w:r>
      <w:r>
        <w:fldChar w:fldCharType="separate"/>
      </w:r>
      <w:r>
        <w:t>12</w:t>
      </w:r>
      <w:r>
        <w:fldChar w:fldCharType="end"/>
      </w:r>
      <w:r>
        <w:rPr>
          <w:szCs w:val="36"/>
        </w:rPr>
        <w:fldChar w:fldCharType="end"/>
      </w:r>
    </w:p>
    <w:p w14:paraId="68434391">
      <w:pPr>
        <w:pStyle w:val="13"/>
        <w:tabs>
          <w:tab w:val="right" w:leader="dot" w:pos="10082"/>
        </w:tabs>
      </w:pPr>
      <w:r>
        <w:rPr>
          <w:szCs w:val="36"/>
        </w:rPr>
        <w:fldChar w:fldCharType="begin"/>
      </w:r>
      <w:r>
        <w:rPr>
          <w:szCs w:val="36"/>
        </w:rPr>
        <w:instrText xml:space="preserve"> HYPERLINK \l _Toc29238 </w:instrText>
      </w:r>
      <w:r>
        <w:rPr>
          <w:szCs w:val="36"/>
        </w:rPr>
        <w:fldChar w:fldCharType="separate"/>
      </w:r>
      <w:r>
        <w:rPr>
          <w:rFonts w:hint="eastAsia" w:ascii="宋体" w:hAnsi="宋体" w:cs="Arial"/>
          <w:szCs w:val="36"/>
          <w:lang w:val="en-US" w:eastAsia="zh-CN"/>
        </w:rPr>
        <w:t>第</w:t>
      </w:r>
      <w:r>
        <w:rPr>
          <w:rFonts w:hint="eastAsia" w:ascii="宋体" w:hAnsi="宋体" w:eastAsia="宋体" w:cs="Arial"/>
          <w:szCs w:val="36"/>
          <w:lang w:val="en-US" w:eastAsia="zh-CN"/>
        </w:rPr>
        <w:t>四</w:t>
      </w:r>
      <w:r>
        <w:rPr>
          <w:rFonts w:hint="eastAsia" w:ascii="宋体" w:hAnsi="宋体" w:cs="Arial"/>
          <w:szCs w:val="36"/>
          <w:lang w:val="en-US" w:eastAsia="zh-CN"/>
        </w:rPr>
        <w:t xml:space="preserve">章 </w:t>
      </w:r>
      <w:r>
        <w:rPr>
          <w:rFonts w:hint="eastAsia" w:ascii="宋体" w:hAnsi="宋体" w:eastAsia="宋体" w:cs="Arial"/>
          <w:szCs w:val="36"/>
          <w:lang w:val="en-US" w:eastAsia="zh-CN"/>
        </w:rPr>
        <w:t>采购需求</w:t>
      </w:r>
      <w:r>
        <w:tab/>
      </w:r>
      <w:r>
        <w:fldChar w:fldCharType="begin"/>
      </w:r>
      <w:r>
        <w:instrText xml:space="preserve"> PAGEREF _Toc29238 \h </w:instrText>
      </w:r>
      <w:r>
        <w:fldChar w:fldCharType="separate"/>
      </w:r>
      <w:r>
        <w:t>18</w:t>
      </w:r>
      <w:r>
        <w:fldChar w:fldCharType="end"/>
      </w:r>
      <w:r>
        <w:rPr>
          <w:szCs w:val="36"/>
        </w:rPr>
        <w:fldChar w:fldCharType="end"/>
      </w:r>
    </w:p>
    <w:p w14:paraId="2C13B751">
      <w:pPr>
        <w:pStyle w:val="13"/>
        <w:tabs>
          <w:tab w:val="right" w:leader="dot" w:pos="10082"/>
        </w:tabs>
      </w:pPr>
      <w:r>
        <w:rPr>
          <w:szCs w:val="36"/>
        </w:rPr>
        <w:fldChar w:fldCharType="begin"/>
      </w:r>
      <w:r>
        <w:rPr>
          <w:szCs w:val="36"/>
        </w:rPr>
        <w:instrText xml:space="preserve"> HYPERLINK \l _Toc26502 </w:instrText>
      </w:r>
      <w:r>
        <w:rPr>
          <w:szCs w:val="36"/>
        </w:rPr>
        <w:fldChar w:fldCharType="separate"/>
      </w:r>
      <w:r>
        <w:rPr>
          <w:rFonts w:hint="eastAsia" w:ascii="宋体" w:hAnsi="宋体" w:cs="Arial"/>
          <w:szCs w:val="36"/>
          <w:lang w:val="en-US" w:eastAsia="zh-CN"/>
        </w:rPr>
        <w:t>第五章 入库框架协议</w:t>
      </w:r>
      <w:r>
        <w:tab/>
      </w:r>
      <w:r>
        <w:fldChar w:fldCharType="begin"/>
      </w:r>
      <w:r>
        <w:instrText xml:space="preserve"> PAGEREF _Toc26502 \h </w:instrText>
      </w:r>
      <w:r>
        <w:fldChar w:fldCharType="separate"/>
      </w:r>
      <w:r>
        <w:t>20</w:t>
      </w:r>
      <w:r>
        <w:fldChar w:fldCharType="end"/>
      </w:r>
      <w:r>
        <w:rPr>
          <w:szCs w:val="36"/>
        </w:rPr>
        <w:fldChar w:fldCharType="end"/>
      </w:r>
    </w:p>
    <w:p w14:paraId="1FF5D7E7">
      <w:pPr>
        <w:pStyle w:val="13"/>
        <w:tabs>
          <w:tab w:val="right" w:leader="dot" w:pos="10082"/>
        </w:tabs>
      </w:pPr>
      <w:r>
        <w:rPr>
          <w:szCs w:val="36"/>
        </w:rPr>
        <w:fldChar w:fldCharType="begin"/>
      </w:r>
      <w:r>
        <w:rPr>
          <w:szCs w:val="36"/>
        </w:rPr>
        <w:instrText xml:space="preserve"> HYPERLINK \l _Toc7749 </w:instrText>
      </w:r>
      <w:r>
        <w:rPr>
          <w:szCs w:val="36"/>
        </w:rPr>
        <w:fldChar w:fldCharType="separate"/>
      </w:r>
      <w:r>
        <w:rPr>
          <w:rFonts w:hint="eastAsia" w:ascii="宋体" w:hAnsi="宋体" w:cs="宋体"/>
          <w:bCs/>
          <w:kern w:val="44"/>
          <w:szCs w:val="24"/>
        </w:rPr>
        <w:t>第</w:t>
      </w:r>
      <w:r>
        <w:rPr>
          <w:rFonts w:hint="eastAsia" w:ascii="宋体" w:hAnsi="宋体" w:cs="宋体"/>
          <w:bCs/>
          <w:kern w:val="44"/>
          <w:szCs w:val="24"/>
          <w:lang w:val="en-US" w:eastAsia="zh-CN"/>
        </w:rPr>
        <w:t>六</w:t>
      </w:r>
      <w:r>
        <w:rPr>
          <w:rFonts w:hint="eastAsia" w:ascii="宋体" w:hAnsi="宋体" w:cs="宋体"/>
          <w:bCs/>
          <w:kern w:val="44"/>
          <w:szCs w:val="24"/>
        </w:rPr>
        <w:t>章 投标文件格式</w:t>
      </w:r>
      <w:r>
        <w:tab/>
      </w:r>
      <w:r>
        <w:fldChar w:fldCharType="begin"/>
      </w:r>
      <w:r>
        <w:instrText xml:space="preserve"> PAGEREF _Toc7749 \h </w:instrText>
      </w:r>
      <w:r>
        <w:fldChar w:fldCharType="separate"/>
      </w:r>
      <w:r>
        <w:t>28</w:t>
      </w:r>
      <w:r>
        <w:fldChar w:fldCharType="end"/>
      </w:r>
      <w:r>
        <w:rPr>
          <w:szCs w:val="36"/>
        </w:rPr>
        <w:fldChar w:fldCharType="end"/>
      </w:r>
    </w:p>
    <w:p w14:paraId="600CD2E4">
      <w:pPr>
        <w:rPr>
          <w:rFonts w:ascii="Times New Roman" w:hAnsi="Times New Roman" w:eastAsia="宋体" w:cs="Times New Roman"/>
          <w:kern w:val="2"/>
          <w:sz w:val="21"/>
          <w:szCs w:val="21"/>
          <w:lang w:val="en-US" w:eastAsia="zh-CN" w:bidi="ar-SA"/>
        </w:rPr>
      </w:pPr>
      <w:r>
        <w:rPr>
          <w:szCs w:val="36"/>
        </w:rPr>
        <w:fldChar w:fldCharType="end"/>
      </w:r>
    </w:p>
    <w:p w14:paraId="75B52839">
      <w:pPr>
        <w:pStyle w:val="18"/>
      </w:pPr>
    </w:p>
    <w:p w14:paraId="74928315">
      <w:pPr>
        <w:spacing w:line="360" w:lineRule="auto"/>
        <w:rPr>
          <w:rFonts w:ascii="宋体" w:hAnsi="宋体" w:cs="宋体"/>
          <w:szCs w:val="28"/>
        </w:rPr>
      </w:pPr>
    </w:p>
    <w:p w14:paraId="0C493212">
      <w:pPr>
        <w:pStyle w:val="2"/>
        <w:spacing w:line="360" w:lineRule="auto"/>
        <w:jc w:val="center"/>
        <w:rPr>
          <w:rFonts w:hint="eastAsia" w:ascii="宋体" w:hAnsi="宋体" w:cs="宋体"/>
          <w:sz w:val="32"/>
          <w:szCs w:val="32"/>
        </w:rPr>
        <w:sectPr>
          <w:footerReference r:id="rId4" w:type="first"/>
          <w:footerReference r:id="rId3" w:type="default"/>
          <w:pgSz w:w="12242" w:h="15842"/>
          <w:pgMar w:top="1701" w:right="1080" w:bottom="1587" w:left="1080" w:header="720" w:footer="720" w:gutter="0"/>
          <w:pgNumType w:fmt="decimal"/>
          <w:cols w:space="720" w:num="1"/>
          <w:titlePg/>
          <w:docGrid w:type="linesAndChars" w:linePitch="312" w:charSpace="0"/>
        </w:sectPr>
      </w:pPr>
      <w:bookmarkStart w:id="0" w:name="_Toc4518"/>
      <w:bookmarkStart w:id="1" w:name="_Toc32338"/>
      <w:bookmarkStart w:id="2" w:name="_Toc29507"/>
      <w:bookmarkStart w:id="3" w:name="_Toc535314222"/>
      <w:bookmarkStart w:id="4" w:name="_Toc17400"/>
      <w:bookmarkStart w:id="5" w:name="_Toc368985787"/>
      <w:bookmarkStart w:id="6" w:name="_Toc355604664"/>
    </w:p>
    <w:p w14:paraId="71E4B778">
      <w:pPr>
        <w:pStyle w:val="2"/>
        <w:spacing w:line="360" w:lineRule="auto"/>
        <w:jc w:val="center"/>
        <w:rPr>
          <w:rFonts w:ascii="宋体" w:hAnsi="宋体" w:cs="宋体"/>
          <w:sz w:val="32"/>
          <w:szCs w:val="32"/>
        </w:rPr>
      </w:pPr>
      <w:bookmarkStart w:id="7" w:name="_Toc31566"/>
      <w:r>
        <w:rPr>
          <w:rFonts w:hint="eastAsia" w:ascii="宋体" w:hAnsi="宋体" w:cs="宋体"/>
          <w:sz w:val="32"/>
          <w:szCs w:val="32"/>
        </w:rPr>
        <w:t xml:space="preserve">第一章 </w:t>
      </w:r>
      <w:r>
        <w:rPr>
          <w:rFonts w:hint="eastAsia" w:ascii="宋体" w:hAnsi="宋体" w:cs="宋体"/>
          <w:sz w:val="32"/>
          <w:szCs w:val="32"/>
          <w:lang w:val="en-US" w:eastAsia="zh-CN"/>
        </w:rPr>
        <w:t>遴选</w:t>
      </w:r>
      <w:r>
        <w:rPr>
          <w:rFonts w:hint="eastAsia" w:ascii="宋体" w:hAnsi="宋体" w:cs="宋体"/>
          <w:sz w:val="32"/>
          <w:szCs w:val="32"/>
        </w:rPr>
        <w:t>公告</w:t>
      </w:r>
      <w:bookmarkEnd w:id="0"/>
      <w:bookmarkEnd w:id="1"/>
      <w:bookmarkEnd w:id="2"/>
      <w:bookmarkEnd w:id="3"/>
      <w:bookmarkEnd w:id="4"/>
      <w:bookmarkEnd w:id="5"/>
      <w:bookmarkEnd w:id="6"/>
      <w:bookmarkEnd w:id="7"/>
    </w:p>
    <w:p w14:paraId="5383F68C">
      <w:pPr>
        <w:spacing w:line="360" w:lineRule="auto"/>
        <w:ind w:firstLine="440" w:firstLineChars="200"/>
        <w:outlineLvl w:val="1"/>
        <w:rPr>
          <w:rFonts w:ascii="宋体" w:hAnsi="宋体" w:cs="宋体"/>
          <w:sz w:val="22"/>
        </w:rPr>
      </w:pPr>
      <w:bookmarkStart w:id="8" w:name="_Toc12707"/>
      <w:bookmarkStart w:id="9" w:name="_Toc26029"/>
      <w:bookmarkStart w:id="10" w:name="OLE_LINK1"/>
      <w:bookmarkStart w:id="11" w:name="OLE_LINK3"/>
      <w:bookmarkStart w:id="12" w:name="OLE_LINK4"/>
      <w:r>
        <w:rPr>
          <w:rFonts w:hint="eastAsia" w:ascii="宋体" w:hAnsi="宋体" w:cs="宋体"/>
          <w:sz w:val="22"/>
        </w:rPr>
        <w:t>现对</w:t>
      </w:r>
      <w:r>
        <w:rPr>
          <w:rFonts w:hint="eastAsia" w:ascii="宋体" w:hAnsi="宋体" w:cs="宋体"/>
          <w:sz w:val="22"/>
          <w:lang w:eastAsia="zh-CN"/>
        </w:rPr>
        <w:t>2026-2027年阜充电充电桩维保及场站零星维修供应商库</w:t>
      </w:r>
      <w:r>
        <w:rPr>
          <w:rFonts w:hint="eastAsia" w:ascii="宋体" w:hAnsi="宋体" w:cs="宋体"/>
          <w:sz w:val="22"/>
        </w:rPr>
        <w:t>进行公开</w:t>
      </w:r>
      <w:r>
        <w:rPr>
          <w:rFonts w:hint="eastAsia" w:ascii="宋体" w:hAnsi="宋体" w:cs="宋体"/>
          <w:sz w:val="22"/>
          <w:lang w:val="en-US" w:eastAsia="zh-CN"/>
        </w:rPr>
        <w:t>遴选</w:t>
      </w:r>
      <w:r>
        <w:rPr>
          <w:rFonts w:hint="eastAsia" w:ascii="宋体" w:hAnsi="宋体" w:cs="宋体"/>
          <w:sz w:val="22"/>
        </w:rPr>
        <w:t>，具备条件的</w:t>
      </w:r>
      <w:bookmarkEnd w:id="8"/>
      <w:bookmarkEnd w:id="9"/>
      <w:r>
        <w:rPr>
          <w:rFonts w:hint="eastAsia" w:ascii="宋体" w:hAnsi="宋体" w:cs="宋体"/>
          <w:sz w:val="22"/>
        </w:rPr>
        <w:t>潜在供应商应在阜阳投资发展集团有限公司网站(http://www.fytfjt.com/)网站获取采购文件</w:t>
      </w:r>
      <w:r>
        <w:rPr>
          <w:rFonts w:hint="eastAsia" w:ascii="宋体" w:hAnsi="宋体" w:cs="宋体"/>
          <w:sz w:val="22"/>
          <w:lang w:eastAsia="zh-CN"/>
        </w:rPr>
        <w:t>，</w:t>
      </w:r>
      <w:r>
        <w:rPr>
          <w:rFonts w:hint="eastAsia" w:ascii="宋体" w:hAnsi="宋体" w:cs="宋体"/>
          <w:sz w:val="22"/>
        </w:rPr>
        <w:t>并于</w:t>
      </w:r>
      <w:r>
        <w:rPr>
          <w:rFonts w:hint="eastAsia" w:ascii="宋体" w:hAnsi="宋体" w:cs="宋体"/>
          <w:sz w:val="22"/>
          <w:lang w:eastAsia="zh-CN"/>
        </w:rPr>
        <w:t>2026年10月30日</w:t>
      </w:r>
      <w:r>
        <w:rPr>
          <w:rFonts w:hint="eastAsia" w:ascii="宋体" w:hAnsi="宋体" w:cs="宋体"/>
          <w:sz w:val="22"/>
        </w:rPr>
        <w:t>10点00分（北京时间）前提交响应文件。</w:t>
      </w:r>
    </w:p>
    <w:p w14:paraId="183298C3">
      <w:pPr>
        <w:pStyle w:val="3"/>
        <w:keepNext/>
        <w:keepLines/>
        <w:pageBreakBefore w:val="0"/>
        <w:widowControl w:val="0"/>
        <w:kinsoku/>
        <w:wordWrap/>
        <w:overflowPunct/>
        <w:topLinePunct w:val="0"/>
        <w:autoSpaceDE/>
        <w:autoSpaceDN/>
        <w:bidi w:val="0"/>
        <w:adjustRightInd/>
        <w:snapToGrid/>
        <w:spacing w:before="200" w:after="200" w:line="360" w:lineRule="auto"/>
        <w:ind w:right="0"/>
        <w:jc w:val="both"/>
        <w:textAlignment w:val="auto"/>
        <w:rPr>
          <w:rFonts w:hint="eastAsia" w:ascii="宋体" w:hAnsi="宋体" w:eastAsia="宋体" w:cs="宋体"/>
          <w:b/>
          <w:bCs/>
          <w:color w:val="auto"/>
          <w:kern w:val="0"/>
          <w:sz w:val="21"/>
          <w:szCs w:val="21"/>
          <w:lang w:val="en-US" w:eastAsia="zh-CN" w:bidi="zh-CN"/>
        </w:rPr>
      </w:pPr>
      <w:r>
        <w:rPr>
          <w:rFonts w:hint="eastAsia" w:ascii="宋体" w:hAnsi="宋体" w:eastAsia="宋体" w:cs="宋体"/>
          <w:b/>
          <w:bCs/>
          <w:color w:val="auto"/>
          <w:kern w:val="0"/>
          <w:sz w:val="21"/>
          <w:szCs w:val="21"/>
          <w:lang w:val="en-US" w:eastAsia="zh-CN" w:bidi="zh-CN"/>
        </w:rPr>
        <w:t>一、项目名称及内容</w:t>
      </w:r>
    </w:p>
    <w:p w14:paraId="7EB8CBAC">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sz w:val="22"/>
          <w:lang w:val="en-US" w:eastAsia="zh-CN"/>
        </w:rPr>
      </w:pPr>
      <w:r>
        <w:rPr>
          <w:rFonts w:hint="eastAsia" w:ascii="宋体" w:hAnsi="宋体" w:cs="宋体"/>
          <w:sz w:val="22"/>
          <w:lang w:val="en-US" w:eastAsia="zh-CN"/>
        </w:rPr>
        <w:t>1.</w:t>
      </w:r>
      <w:r>
        <w:rPr>
          <w:rFonts w:hint="eastAsia" w:ascii="宋体" w:hAnsi="宋体" w:cs="宋体"/>
          <w:sz w:val="22"/>
        </w:rPr>
        <w:t>项目编号：FYCDZ-XMJS-2026-02</w:t>
      </w:r>
      <w:r>
        <w:rPr>
          <w:rFonts w:hint="eastAsia" w:ascii="宋体" w:hAnsi="宋体" w:cs="宋体"/>
          <w:sz w:val="22"/>
          <w:lang w:eastAsia="zh-CN"/>
        </w:rPr>
        <w:t>。</w:t>
      </w:r>
    </w:p>
    <w:p w14:paraId="6CA64337">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sz w:val="22"/>
          <w:lang w:eastAsia="zh-CN"/>
        </w:rPr>
      </w:pPr>
      <w:r>
        <w:rPr>
          <w:rFonts w:hint="eastAsia" w:ascii="宋体" w:hAnsi="宋体" w:cs="宋体"/>
          <w:sz w:val="22"/>
          <w:lang w:val="en-US" w:eastAsia="zh-CN"/>
        </w:rPr>
        <w:t>2.</w:t>
      </w:r>
      <w:r>
        <w:rPr>
          <w:rFonts w:hint="eastAsia" w:ascii="宋体" w:hAnsi="宋体" w:cs="宋体"/>
          <w:sz w:val="22"/>
        </w:rPr>
        <w:t>项目名称：</w:t>
      </w:r>
      <w:r>
        <w:rPr>
          <w:rFonts w:hint="eastAsia" w:ascii="宋体" w:hAnsi="宋体" w:cs="宋体"/>
          <w:sz w:val="22"/>
          <w:lang w:eastAsia="zh-CN"/>
        </w:rPr>
        <w:t>2026-2027年阜充电充电桩维保及</w:t>
      </w:r>
      <w:r>
        <w:rPr>
          <w:rFonts w:hint="eastAsia" w:ascii="宋体" w:hAnsi="宋体" w:cs="宋体"/>
          <w:sz w:val="22"/>
          <w:lang w:val="en-US" w:eastAsia="zh-CN"/>
        </w:rPr>
        <w:t>场</w:t>
      </w:r>
      <w:r>
        <w:rPr>
          <w:rFonts w:hint="eastAsia" w:ascii="宋体" w:hAnsi="宋体" w:cs="宋体"/>
          <w:sz w:val="22"/>
          <w:lang w:eastAsia="zh-CN"/>
        </w:rPr>
        <w:t>站零星维修供应商库。</w:t>
      </w:r>
    </w:p>
    <w:p w14:paraId="26F2A84B">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default" w:ascii="宋体" w:hAnsi="宋体" w:eastAsia="宋体" w:cs="宋体"/>
          <w:sz w:val="22"/>
          <w:lang w:val="en-US" w:eastAsia="zh-CN"/>
        </w:rPr>
      </w:pPr>
      <w:r>
        <w:rPr>
          <w:rFonts w:hint="eastAsia" w:ascii="宋体" w:hAnsi="宋体" w:cs="宋体"/>
          <w:sz w:val="22"/>
          <w:lang w:val="en-US" w:eastAsia="zh-CN"/>
        </w:rPr>
        <w:t>3.最高限价</w:t>
      </w:r>
      <w:r>
        <w:rPr>
          <w:rFonts w:hint="eastAsia" w:ascii="宋体" w:hAnsi="宋体" w:cs="宋体"/>
          <w:sz w:val="22"/>
        </w:rPr>
        <w:t>：</w:t>
      </w:r>
      <w:r>
        <w:rPr>
          <w:rFonts w:hint="eastAsia" w:ascii="宋体" w:hAnsi="宋体" w:cs="宋体"/>
          <w:sz w:val="22"/>
          <w:lang w:val="en-US" w:eastAsia="zh-CN"/>
        </w:rPr>
        <w:t>预算30万元。</w:t>
      </w:r>
    </w:p>
    <w:p w14:paraId="13641DC0">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cs="宋体"/>
          <w:sz w:val="22"/>
        </w:rPr>
      </w:pPr>
      <w:r>
        <w:rPr>
          <w:rFonts w:hint="eastAsia" w:ascii="宋体" w:hAnsi="宋体" w:cs="宋体"/>
          <w:sz w:val="22"/>
          <w:lang w:val="en-US" w:eastAsia="zh-CN"/>
        </w:rPr>
        <w:t>4.采购需求</w:t>
      </w:r>
      <w:r>
        <w:rPr>
          <w:rFonts w:hint="eastAsia" w:ascii="宋体" w:hAnsi="宋体" w:cs="宋体"/>
          <w:sz w:val="22"/>
        </w:rPr>
        <w:t>：拟采购</w:t>
      </w:r>
      <w:r>
        <w:rPr>
          <w:rFonts w:hint="eastAsia" w:ascii="宋体" w:hAnsi="宋体" w:cs="宋体"/>
          <w:sz w:val="22"/>
          <w:lang w:val="en-US" w:eastAsia="zh-CN"/>
        </w:rPr>
        <w:t>3</w:t>
      </w:r>
      <w:r>
        <w:rPr>
          <w:rFonts w:hint="eastAsia" w:ascii="宋体" w:hAnsi="宋体" w:cs="宋体"/>
          <w:sz w:val="22"/>
        </w:rPr>
        <w:t>家单位，服务范围覆盖阜阳市三区五县全域所有阜充电运营的充电场站，服务标的为公司运营的全部新能源汽车</w:t>
      </w:r>
      <w:r>
        <w:rPr>
          <w:rFonts w:hint="eastAsia" w:ascii="宋体" w:hAnsi="宋体" w:cs="宋体"/>
          <w:sz w:val="22"/>
          <w:lang w:val="en-US" w:eastAsia="zh-CN"/>
        </w:rPr>
        <w:t>充电场站及</w:t>
      </w:r>
      <w:r>
        <w:rPr>
          <w:rFonts w:hint="eastAsia" w:ascii="宋体" w:hAnsi="宋体" w:cs="宋体"/>
          <w:sz w:val="22"/>
        </w:rPr>
        <w:t>充电桩（含直流桩、交流桩），包含质保期外的维修、故障抢修及技术支持等服务</w:t>
      </w:r>
      <w:r>
        <w:rPr>
          <w:rFonts w:hint="eastAsia" w:ascii="宋体" w:hAnsi="宋体" w:cs="宋体"/>
          <w:sz w:val="22"/>
          <w:lang w:val="en-US" w:eastAsia="zh-CN"/>
        </w:rPr>
        <w:t>，详见第三章采购需求</w:t>
      </w:r>
      <w:r>
        <w:rPr>
          <w:rFonts w:hint="eastAsia" w:ascii="宋体" w:hAnsi="宋体" w:cs="宋体"/>
          <w:sz w:val="22"/>
        </w:rPr>
        <w:t>。</w:t>
      </w:r>
    </w:p>
    <w:p w14:paraId="632A1A48">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default" w:ascii="宋体" w:hAnsi="宋体" w:cs="宋体"/>
          <w:sz w:val="22"/>
          <w:lang w:val="en-US"/>
        </w:rPr>
      </w:pPr>
      <w:r>
        <w:rPr>
          <w:rFonts w:hint="eastAsia" w:ascii="宋体" w:hAnsi="宋体" w:cs="宋体"/>
          <w:sz w:val="22"/>
          <w:lang w:val="en-US" w:eastAsia="zh-CN"/>
        </w:rPr>
        <w:t>5.合同期限：合同服务期限采用“1+1”年模式，即基础服务期为自供应商库组建完成之日起1年，经年度综合考核合格且采购人业务需要可续签1年。</w:t>
      </w:r>
    </w:p>
    <w:p w14:paraId="1CFB1FC7">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default" w:ascii="宋体" w:hAnsi="宋体" w:cs="宋体"/>
          <w:sz w:val="22"/>
          <w:lang w:val="en-US"/>
        </w:rPr>
      </w:pPr>
      <w:r>
        <w:rPr>
          <w:rFonts w:hint="eastAsia" w:ascii="宋体" w:hAnsi="宋体" w:cs="宋体"/>
          <w:sz w:val="22"/>
          <w:lang w:val="en-US" w:eastAsia="zh-CN"/>
        </w:rPr>
        <w:t>6.服务地点：采购人指定阜阳行政区域内各场站现场。</w:t>
      </w:r>
    </w:p>
    <w:p w14:paraId="795C1B92">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cs="宋体"/>
          <w:sz w:val="22"/>
        </w:rPr>
      </w:pPr>
      <w:r>
        <w:rPr>
          <w:rFonts w:hint="eastAsia" w:ascii="宋体" w:hAnsi="宋体" w:cs="宋体"/>
          <w:sz w:val="22"/>
          <w:lang w:val="en-US" w:eastAsia="zh-CN"/>
        </w:rPr>
        <w:t>7.</w:t>
      </w:r>
      <w:r>
        <w:rPr>
          <w:rFonts w:hint="eastAsia" w:ascii="宋体" w:hAnsi="宋体" w:cs="宋体"/>
          <w:sz w:val="22"/>
        </w:rPr>
        <w:t>入库单位数量：</w:t>
      </w:r>
      <w:r>
        <w:rPr>
          <w:rFonts w:hint="eastAsia" w:ascii="宋体" w:hAnsi="宋体" w:cs="宋体"/>
          <w:sz w:val="22"/>
          <w:lang w:val="en-US" w:eastAsia="zh-CN"/>
        </w:rPr>
        <w:t>3</w:t>
      </w:r>
      <w:r>
        <w:rPr>
          <w:rFonts w:hint="eastAsia" w:ascii="宋体" w:hAnsi="宋体" w:cs="宋体"/>
          <w:sz w:val="22"/>
        </w:rPr>
        <w:t>家。</w:t>
      </w:r>
    </w:p>
    <w:p w14:paraId="3E1A3110">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cs="宋体"/>
          <w:sz w:val="22"/>
          <w:lang w:val="en-US" w:eastAsia="zh-CN"/>
        </w:rPr>
      </w:pPr>
      <w:r>
        <w:rPr>
          <w:rFonts w:hint="eastAsia" w:ascii="宋体" w:hAnsi="宋体" w:cs="宋体"/>
          <w:sz w:val="22"/>
          <w:lang w:val="en-US" w:eastAsia="zh-CN"/>
        </w:rPr>
        <w:t>8.质量要求：须符合国家及行业相关标准，满足正常使用需求。</w:t>
      </w:r>
    </w:p>
    <w:p w14:paraId="68C043C6">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sz w:val="22"/>
          <w:lang w:val="en-US"/>
        </w:rPr>
      </w:pPr>
      <w:r>
        <w:rPr>
          <w:rFonts w:hint="eastAsia" w:ascii="宋体" w:hAnsi="宋体" w:cs="宋体"/>
          <w:sz w:val="22"/>
          <w:lang w:val="en-US" w:eastAsia="zh-CN"/>
        </w:rPr>
        <w:t>9</w:t>
      </w:r>
      <w:r>
        <w:rPr>
          <w:rFonts w:hint="eastAsia" w:ascii="宋体" w:hAnsi="宋体" w:eastAsia="宋体" w:cs="宋体"/>
          <w:sz w:val="22"/>
          <w:lang w:val="en-US" w:eastAsia="zh-CN"/>
        </w:rPr>
        <w:t>.</w:t>
      </w:r>
      <w:r>
        <w:rPr>
          <w:rFonts w:hint="eastAsia" w:ascii="宋体" w:hAnsi="宋体" w:eastAsia="宋体" w:cs="宋体"/>
          <w:sz w:val="22"/>
          <w:lang w:val="en-US"/>
        </w:rPr>
        <w:t>本项目不接受联合体投标。</w:t>
      </w:r>
    </w:p>
    <w:p w14:paraId="6952DBFB">
      <w:pPr>
        <w:pStyle w:val="3"/>
        <w:keepNext/>
        <w:keepLines/>
        <w:pageBreakBefore w:val="0"/>
        <w:widowControl w:val="0"/>
        <w:kinsoku/>
        <w:wordWrap/>
        <w:overflowPunct/>
        <w:topLinePunct w:val="0"/>
        <w:autoSpaceDE/>
        <w:autoSpaceDN/>
        <w:bidi w:val="0"/>
        <w:adjustRightInd/>
        <w:snapToGrid/>
        <w:spacing w:before="200" w:after="200" w:line="360" w:lineRule="auto"/>
        <w:ind w:right="0"/>
        <w:jc w:val="both"/>
        <w:textAlignment w:val="auto"/>
        <w:rPr>
          <w:rFonts w:hint="eastAsia" w:ascii="宋体" w:hAnsi="宋体" w:eastAsia="宋体" w:cs="宋体"/>
          <w:b/>
          <w:bCs/>
          <w:color w:val="auto"/>
          <w:kern w:val="0"/>
          <w:sz w:val="21"/>
          <w:szCs w:val="21"/>
          <w:lang w:val="en-US" w:eastAsia="zh-CN" w:bidi="zh-CN"/>
        </w:rPr>
      </w:pPr>
      <w:bookmarkStart w:id="13" w:name="_Toc355604667"/>
      <w:bookmarkStart w:id="14" w:name="_Toc15425"/>
      <w:bookmarkStart w:id="15" w:name="_Toc11902"/>
      <w:bookmarkStart w:id="16" w:name="OLE_LINK2"/>
      <w:r>
        <w:rPr>
          <w:rFonts w:hint="eastAsia" w:ascii="宋体" w:hAnsi="宋体" w:eastAsia="宋体" w:cs="宋体"/>
          <w:b/>
          <w:bCs/>
          <w:color w:val="auto"/>
          <w:kern w:val="0"/>
          <w:sz w:val="21"/>
          <w:szCs w:val="21"/>
          <w:lang w:val="en-US" w:eastAsia="zh-CN" w:bidi="zh-CN"/>
        </w:rPr>
        <w:t>二、投标人资格要求</w:t>
      </w:r>
      <w:bookmarkEnd w:id="13"/>
      <w:bookmarkEnd w:id="14"/>
      <w:bookmarkEnd w:id="15"/>
    </w:p>
    <w:bookmarkEnd w:id="16"/>
    <w:p w14:paraId="4A50B031">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left="0" w:leftChars="0" w:firstLine="440" w:firstLineChars="200"/>
        <w:textAlignment w:val="auto"/>
        <w:rPr>
          <w:rFonts w:hint="eastAsia" w:ascii="宋体" w:hAnsi="宋体" w:cs="宋体"/>
          <w:sz w:val="22"/>
          <w:lang w:val="en-US" w:eastAsia="zh-CN"/>
        </w:rPr>
      </w:pPr>
      <w:bookmarkStart w:id="17" w:name="_Toc355604668"/>
      <w:r>
        <w:rPr>
          <w:rFonts w:hint="eastAsia" w:ascii="宋体" w:hAnsi="宋体" w:cs="宋体"/>
          <w:sz w:val="22"/>
          <w:lang w:val="en-US" w:eastAsia="zh-CN"/>
        </w:rPr>
        <w:t>1.具有独立承担民事责任的能力，提供有效的《营业执照》复印件；</w:t>
      </w:r>
    </w:p>
    <w:p w14:paraId="2D85B9E9">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cs="宋体"/>
          <w:sz w:val="22"/>
          <w:lang w:val="en-US" w:eastAsia="zh-CN"/>
        </w:rPr>
      </w:pPr>
      <w:r>
        <w:rPr>
          <w:rFonts w:hint="eastAsia" w:ascii="宋体" w:hAnsi="宋体" w:cs="宋体"/>
          <w:sz w:val="22"/>
          <w:lang w:val="en-US" w:eastAsia="zh-CN"/>
        </w:rPr>
        <w:t>2.具备有效的三级及以上承装（修、试）电力设施许可证，提供有效证书复印件，具有履行合同所必需的设备和专业技术能力，并具备本次招标服务的保障能力及售后服务能力，提供相关承诺函。</w:t>
      </w:r>
    </w:p>
    <w:bookmarkEnd w:id="17"/>
    <w:p w14:paraId="0FB752BD">
      <w:pPr>
        <w:pStyle w:val="3"/>
        <w:keepNext/>
        <w:keepLines/>
        <w:pageBreakBefore w:val="0"/>
        <w:widowControl w:val="0"/>
        <w:kinsoku/>
        <w:wordWrap/>
        <w:overflowPunct/>
        <w:topLinePunct w:val="0"/>
        <w:autoSpaceDE/>
        <w:autoSpaceDN/>
        <w:bidi w:val="0"/>
        <w:adjustRightInd/>
        <w:snapToGrid/>
        <w:spacing w:before="200" w:after="200" w:line="360" w:lineRule="auto"/>
        <w:ind w:right="0"/>
        <w:jc w:val="both"/>
        <w:textAlignment w:val="auto"/>
        <w:rPr>
          <w:rFonts w:hint="eastAsia" w:ascii="宋体" w:hAnsi="宋体" w:eastAsia="宋体" w:cs="宋体"/>
          <w:b/>
          <w:bCs/>
          <w:color w:val="auto"/>
          <w:kern w:val="0"/>
          <w:sz w:val="21"/>
          <w:szCs w:val="21"/>
          <w:lang w:val="en-US" w:eastAsia="zh-CN" w:bidi="zh-CN"/>
        </w:rPr>
      </w:pPr>
      <w:r>
        <w:rPr>
          <w:rFonts w:hint="eastAsia" w:ascii="宋体" w:hAnsi="宋体" w:eastAsia="宋体" w:cs="宋体"/>
          <w:b/>
          <w:bCs/>
          <w:color w:val="auto"/>
          <w:kern w:val="0"/>
          <w:sz w:val="21"/>
          <w:szCs w:val="21"/>
          <w:lang w:val="en-US" w:eastAsia="zh-CN" w:bidi="zh-CN"/>
        </w:rPr>
        <w:t>三、获取遴选文件及发售办法</w:t>
      </w:r>
    </w:p>
    <w:p w14:paraId="08D6FBC2">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sz w:val="22"/>
        </w:rPr>
      </w:pPr>
      <w:bookmarkStart w:id="18" w:name="_Toc355604669"/>
      <w:r>
        <w:rPr>
          <w:rFonts w:hint="eastAsia" w:ascii="宋体" w:hAnsi="宋体" w:eastAsia="宋体" w:cs="宋体"/>
          <w:sz w:val="22"/>
        </w:rPr>
        <w:t>1</w:t>
      </w:r>
      <w:r>
        <w:rPr>
          <w:rFonts w:hint="eastAsia" w:ascii="宋体" w:hAnsi="宋体" w:eastAsia="宋体" w:cs="宋体"/>
          <w:sz w:val="22"/>
          <w:lang w:val="en-US" w:eastAsia="zh-CN"/>
        </w:rPr>
        <w:t>.</w:t>
      </w:r>
      <w:r>
        <w:rPr>
          <w:rFonts w:hint="eastAsia" w:ascii="宋体" w:hAnsi="宋体" w:eastAsia="宋体" w:cs="宋体"/>
          <w:sz w:val="22"/>
        </w:rPr>
        <w:t>报名方式：凡有意参加的投标人，可在阜阳投资发展集团有限公司网站http://www.fytfjt.com/网站下载</w:t>
      </w:r>
      <w:r>
        <w:rPr>
          <w:rFonts w:hint="eastAsia" w:ascii="宋体" w:hAnsi="宋体" w:cs="宋体"/>
          <w:sz w:val="22"/>
          <w:lang w:eastAsia="zh-CN"/>
        </w:rPr>
        <w:t>遴选文件</w:t>
      </w:r>
      <w:r>
        <w:rPr>
          <w:rFonts w:hint="eastAsia" w:ascii="宋体" w:hAnsi="宋体" w:eastAsia="宋体" w:cs="宋体"/>
          <w:sz w:val="22"/>
        </w:rPr>
        <w:t xml:space="preserve">。      </w:t>
      </w:r>
    </w:p>
    <w:bookmarkEnd w:id="18"/>
    <w:p w14:paraId="34C36AE1">
      <w:pPr>
        <w:pStyle w:val="3"/>
        <w:keepNext/>
        <w:keepLines/>
        <w:pageBreakBefore w:val="0"/>
        <w:widowControl w:val="0"/>
        <w:kinsoku/>
        <w:wordWrap/>
        <w:overflowPunct/>
        <w:topLinePunct w:val="0"/>
        <w:autoSpaceDE/>
        <w:autoSpaceDN/>
        <w:bidi w:val="0"/>
        <w:adjustRightInd/>
        <w:snapToGrid/>
        <w:spacing w:before="200" w:after="200" w:line="360" w:lineRule="auto"/>
        <w:ind w:right="0"/>
        <w:jc w:val="both"/>
        <w:textAlignment w:val="auto"/>
        <w:rPr>
          <w:rFonts w:hint="eastAsia" w:ascii="宋体" w:hAnsi="宋体" w:eastAsia="宋体" w:cs="宋体"/>
          <w:b/>
          <w:bCs/>
          <w:color w:val="auto"/>
          <w:kern w:val="0"/>
          <w:sz w:val="21"/>
          <w:szCs w:val="21"/>
          <w:lang w:val="en-US" w:eastAsia="zh-CN" w:bidi="zh-CN"/>
        </w:rPr>
      </w:pPr>
      <w:r>
        <w:rPr>
          <w:rFonts w:hint="eastAsia" w:ascii="宋体" w:hAnsi="宋体" w:eastAsia="宋体" w:cs="宋体"/>
          <w:b/>
          <w:bCs/>
          <w:color w:val="auto"/>
          <w:kern w:val="0"/>
          <w:sz w:val="21"/>
          <w:szCs w:val="21"/>
          <w:lang w:val="en-US" w:eastAsia="zh-CN" w:bidi="zh-CN"/>
        </w:rPr>
        <w:t>四、开标时间及地点</w:t>
      </w:r>
    </w:p>
    <w:p w14:paraId="1FE8C1AF">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sz w:val="22"/>
        </w:rPr>
      </w:pPr>
      <w:bookmarkStart w:id="19" w:name="_Toc157499355"/>
      <w:bookmarkStart w:id="20" w:name="_Toc247085677"/>
      <w:bookmarkStart w:id="21" w:name="_Toc246996163"/>
      <w:bookmarkStart w:id="22" w:name="_Toc246996906"/>
      <w:bookmarkStart w:id="23" w:name="_Toc179632533"/>
      <w:bookmarkStart w:id="24" w:name="_Toc296602407"/>
      <w:r>
        <w:rPr>
          <w:rFonts w:hint="eastAsia" w:ascii="宋体" w:hAnsi="宋体" w:eastAsia="宋体" w:cs="宋体"/>
          <w:sz w:val="22"/>
        </w:rPr>
        <w:t>1.</w:t>
      </w:r>
      <w:r>
        <w:rPr>
          <w:rFonts w:hint="eastAsia" w:ascii="宋体" w:hAnsi="宋体" w:eastAsia="宋体" w:cs="宋体"/>
          <w:sz w:val="22"/>
          <w:lang w:val="en-US" w:eastAsia="zh-CN"/>
        </w:rPr>
        <w:t>开标</w:t>
      </w:r>
      <w:r>
        <w:rPr>
          <w:rFonts w:hint="eastAsia" w:ascii="宋体" w:hAnsi="宋体" w:eastAsia="宋体" w:cs="宋体"/>
          <w:sz w:val="22"/>
        </w:rPr>
        <w:t>时间：</w:t>
      </w:r>
      <w:r>
        <w:rPr>
          <w:rFonts w:hint="eastAsia" w:ascii="宋体" w:hAnsi="宋体" w:cs="宋体"/>
          <w:sz w:val="22"/>
          <w:lang w:val="en-US" w:eastAsia="zh-CN"/>
        </w:rPr>
        <w:t>2026年10月30日</w:t>
      </w:r>
      <w:r>
        <w:rPr>
          <w:rFonts w:hint="eastAsia" w:ascii="宋体" w:hAnsi="宋体" w:eastAsia="宋体" w:cs="宋体"/>
          <w:sz w:val="22"/>
          <w:lang w:val="en-US" w:eastAsia="zh-CN"/>
        </w:rPr>
        <w:t xml:space="preserve"> 10时00分</w:t>
      </w:r>
      <w:r>
        <w:rPr>
          <w:rFonts w:hint="eastAsia" w:ascii="宋体" w:hAnsi="宋体" w:eastAsia="宋体" w:cs="宋体"/>
          <w:sz w:val="22"/>
          <w:lang w:val="en-US"/>
        </w:rPr>
        <w:t>。</w:t>
      </w:r>
      <w:r>
        <w:rPr>
          <w:rFonts w:hint="eastAsia" w:ascii="宋体" w:hAnsi="宋体" w:eastAsia="宋体" w:cs="宋体"/>
          <w:sz w:val="22"/>
        </w:rPr>
        <w:t>（北京时间）</w:t>
      </w:r>
    </w:p>
    <w:p w14:paraId="70FF5E1C">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sz w:val="22"/>
        </w:rPr>
      </w:pPr>
      <w:r>
        <w:rPr>
          <w:rFonts w:hint="eastAsia" w:ascii="宋体" w:hAnsi="宋体" w:eastAsia="宋体" w:cs="宋体"/>
          <w:sz w:val="22"/>
        </w:rPr>
        <w:t>2.地点：</w:t>
      </w:r>
      <w:r>
        <w:rPr>
          <w:rFonts w:hint="eastAsia" w:ascii="宋体" w:hAnsi="宋体" w:eastAsia="宋体" w:cs="宋体"/>
          <w:sz w:val="22"/>
          <w:lang w:val="en-US" w:eastAsia="zh-CN"/>
        </w:rPr>
        <w:t>安徽省阜阳市颍州区清河街道淮河路2000号建投大厦12楼会议室（线上开标）。</w:t>
      </w:r>
    </w:p>
    <w:bookmarkEnd w:id="19"/>
    <w:bookmarkEnd w:id="20"/>
    <w:bookmarkEnd w:id="21"/>
    <w:bookmarkEnd w:id="22"/>
    <w:bookmarkEnd w:id="23"/>
    <w:bookmarkEnd w:id="24"/>
    <w:p w14:paraId="4DA713B1">
      <w:pPr>
        <w:pStyle w:val="3"/>
        <w:keepNext/>
        <w:keepLines/>
        <w:pageBreakBefore w:val="0"/>
        <w:widowControl w:val="0"/>
        <w:kinsoku/>
        <w:wordWrap/>
        <w:overflowPunct/>
        <w:topLinePunct w:val="0"/>
        <w:autoSpaceDE/>
        <w:autoSpaceDN/>
        <w:bidi w:val="0"/>
        <w:adjustRightInd/>
        <w:snapToGrid/>
        <w:spacing w:before="200" w:after="200" w:line="360" w:lineRule="auto"/>
        <w:ind w:right="0"/>
        <w:jc w:val="both"/>
        <w:textAlignment w:val="auto"/>
        <w:rPr>
          <w:rFonts w:hint="eastAsia" w:ascii="宋体" w:hAnsi="宋体" w:eastAsia="宋体" w:cs="宋体"/>
          <w:b/>
          <w:bCs/>
          <w:color w:val="auto"/>
          <w:kern w:val="0"/>
          <w:sz w:val="21"/>
          <w:szCs w:val="21"/>
          <w:lang w:val="en-US" w:eastAsia="zh-CN" w:bidi="zh-CN"/>
        </w:rPr>
      </w:pPr>
      <w:r>
        <w:rPr>
          <w:rFonts w:hint="eastAsia" w:ascii="宋体" w:hAnsi="宋体" w:eastAsia="宋体" w:cs="宋体"/>
          <w:b/>
          <w:bCs/>
          <w:color w:val="auto"/>
          <w:kern w:val="0"/>
          <w:sz w:val="21"/>
          <w:szCs w:val="21"/>
          <w:lang w:val="en-US" w:eastAsia="zh-CN" w:bidi="zh-CN"/>
        </w:rPr>
        <w:t>五、投标文件递交时间、截止时间及地点</w:t>
      </w:r>
    </w:p>
    <w:p w14:paraId="6E874D08">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sz w:val="22"/>
        </w:rPr>
      </w:pPr>
      <w:r>
        <w:rPr>
          <w:rFonts w:hint="eastAsia" w:ascii="宋体" w:hAnsi="宋体" w:eastAsia="宋体" w:cs="宋体"/>
          <w:sz w:val="22"/>
        </w:rPr>
        <w:t>1.截止时间：</w:t>
      </w:r>
      <w:r>
        <w:rPr>
          <w:rFonts w:hint="eastAsia" w:ascii="宋体" w:hAnsi="宋体" w:cs="宋体"/>
          <w:sz w:val="22"/>
          <w:lang w:val="en-US" w:eastAsia="zh-CN"/>
        </w:rPr>
        <w:t>2026年10月30日</w:t>
      </w:r>
      <w:r>
        <w:rPr>
          <w:rFonts w:hint="eastAsia" w:ascii="宋体" w:hAnsi="宋体" w:eastAsia="宋体" w:cs="宋体"/>
          <w:sz w:val="22"/>
          <w:lang w:val="en-US" w:eastAsia="zh-CN"/>
        </w:rPr>
        <w:t xml:space="preserve"> 10时00分</w:t>
      </w:r>
      <w:r>
        <w:rPr>
          <w:rFonts w:hint="eastAsia" w:ascii="宋体" w:hAnsi="宋体" w:eastAsia="宋体" w:cs="宋体"/>
          <w:sz w:val="22"/>
          <w:lang w:val="en-US"/>
        </w:rPr>
        <w:t>。</w:t>
      </w:r>
      <w:r>
        <w:rPr>
          <w:rFonts w:hint="eastAsia" w:ascii="宋体" w:hAnsi="宋体" w:eastAsia="宋体" w:cs="宋体"/>
          <w:sz w:val="22"/>
        </w:rPr>
        <w:t>（北京时间）</w:t>
      </w:r>
    </w:p>
    <w:p w14:paraId="2C4E13FC">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sz w:val="22"/>
          <w:lang w:val="en-US" w:eastAsia="zh-CN"/>
        </w:rPr>
      </w:pPr>
      <w:r>
        <w:rPr>
          <w:rFonts w:hint="eastAsia" w:ascii="宋体" w:hAnsi="宋体" w:eastAsia="宋体" w:cs="宋体"/>
          <w:sz w:val="22"/>
        </w:rPr>
        <w:t>2.地点：</w:t>
      </w:r>
      <w:r>
        <w:rPr>
          <w:rFonts w:hint="eastAsia" w:ascii="宋体" w:hAnsi="宋体" w:eastAsia="宋体" w:cs="宋体"/>
          <w:sz w:val="22"/>
          <w:lang w:val="en-US" w:eastAsia="zh-CN"/>
        </w:rPr>
        <w:t>招标人指定邮箱fycdzzc@163.com。</w:t>
      </w:r>
    </w:p>
    <w:p w14:paraId="527F1A8A">
      <w:pPr>
        <w:pStyle w:val="3"/>
        <w:keepNext/>
        <w:keepLines/>
        <w:pageBreakBefore w:val="0"/>
        <w:widowControl w:val="0"/>
        <w:kinsoku/>
        <w:wordWrap/>
        <w:overflowPunct/>
        <w:topLinePunct w:val="0"/>
        <w:autoSpaceDE/>
        <w:autoSpaceDN/>
        <w:bidi w:val="0"/>
        <w:adjustRightInd/>
        <w:snapToGrid/>
        <w:spacing w:before="200" w:after="200" w:line="360" w:lineRule="auto"/>
        <w:ind w:right="0"/>
        <w:jc w:val="both"/>
        <w:textAlignment w:val="auto"/>
        <w:rPr>
          <w:rFonts w:hint="eastAsia" w:ascii="宋体" w:hAnsi="宋体" w:eastAsia="宋体" w:cs="宋体"/>
          <w:b/>
          <w:bCs/>
          <w:color w:val="auto"/>
          <w:kern w:val="0"/>
          <w:sz w:val="21"/>
          <w:szCs w:val="21"/>
          <w:lang w:val="en-US" w:eastAsia="zh-CN" w:bidi="zh-CN"/>
        </w:rPr>
      </w:pPr>
      <w:r>
        <w:rPr>
          <w:rFonts w:hint="eastAsia" w:ascii="宋体" w:hAnsi="宋体" w:eastAsia="宋体" w:cs="宋体"/>
          <w:b/>
          <w:bCs/>
          <w:color w:val="auto"/>
          <w:kern w:val="0"/>
          <w:sz w:val="21"/>
          <w:szCs w:val="21"/>
          <w:lang w:val="en-US" w:eastAsia="zh-CN" w:bidi="zh-CN"/>
        </w:rPr>
        <w:t>六、其他补充事宜</w:t>
      </w:r>
    </w:p>
    <w:p w14:paraId="65F4BA4F">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sz w:val="22"/>
        </w:rPr>
      </w:pPr>
      <w:r>
        <w:rPr>
          <w:rFonts w:hint="eastAsia" w:ascii="宋体" w:hAnsi="宋体" w:eastAsia="宋体" w:cs="宋体"/>
          <w:sz w:val="22"/>
          <w:lang w:val="en-US" w:eastAsia="zh-CN"/>
        </w:rPr>
        <w:t>1.</w:t>
      </w:r>
      <w:r>
        <w:rPr>
          <w:rFonts w:hint="eastAsia" w:ascii="宋体" w:hAnsi="宋体" w:eastAsia="宋体" w:cs="宋体"/>
          <w:sz w:val="22"/>
        </w:rPr>
        <w:t>本项目采用电子邮箱接收投标文件，不再进行现场递交，具体办法如下：</w:t>
      </w:r>
    </w:p>
    <w:p w14:paraId="5F09315C">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sz w:val="22"/>
        </w:rPr>
      </w:pPr>
      <w:r>
        <w:rPr>
          <w:rFonts w:hint="eastAsia" w:ascii="宋体" w:hAnsi="宋体" w:eastAsia="宋体" w:cs="宋体"/>
          <w:sz w:val="22"/>
        </w:rPr>
        <w:t>投标截止时间前两小时内，各潜在投标人应提前将该项目签字盖章齐全的纸质版投标文件进行扫描后转化为电子版PDF格式，以上内容压缩为一个压缩包</w:t>
      </w:r>
      <w:r>
        <w:rPr>
          <w:rFonts w:hint="eastAsia" w:ascii="宋体" w:hAnsi="宋体" w:eastAsia="宋体" w:cs="宋体"/>
          <w:sz w:val="22"/>
          <w:lang w:val="en-US" w:eastAsia="zh-CN"/>
        </w:rPr>
        <w:t>发送</w:t>
      </w:r>
      <w:r>
        <w:rPr>
          <w:rFonts w:hint="eastAsia" w:ascii="宋体" w:hAnsi="宋体" w:eastAsia="宋体" w:cs="宋体"/>
          <w:sz w:val="22"/>
        </w:rPr>
        <w:t>至</w:t>
      </w:r>
      <w:r>
        <w:rPr>
          <w:rFonts w:hint="eastAsia" w:ascii="宋体" w:hAnsi="宋体" w:cs="宋体"/>
          <w:sz w:val="22"/>
          <w:lang w:eastAsia="zh-CN"/>
        </w:rPr>
        <w:t>fycdzzc@163.com</w:t>
      </w:r>
      <w:r>
        <w:rPr>
          <w:rFonts w:hint="eastAsia" w:ascii="宋体" w:hAnsi="宋体" w:eastAsia="宋体" w:cs="宋体"/>
          <w:sz w:val="22"/>
        </w:rPr>
        <w:t>邮箱，压缩包和邮件名称均须设置成：投标人名称+项目名称+授权人姓名+授权人手机号码，且邮件内容与邮件名称相统一，如因投标人邮件名称标识错误或邮件内容混传，责任自负。</w:t>
      </w:r>
    </w:p>
    <w:p w14:paraId="73BF709E">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sz w:val="22"/>
        </w:rPr>
      </w:pPr>
      <w:r>
        <w:rPr>
          <w:rFonts w:hint="eastAsia" w:ascii="宋体" w:hAnsi="宋体" w:eastAsia="宋体" w:cs="宋体"/>
          <w:sz w:val="22"/>
        </w:rPr>
        <w:t>以邮件系统显示的接收时间作为投标人递交投标文件的时间，投标截止时间后电子邮箱接收到的投标文件无效。若同一投标人在投标文件递交截止时间前于电子邮箱内提交多份投标文件的，以递交时间最晚的投标文件，作为本次项目的正式投标文件，递交投标文件最晚的邮箱作为该投标人的指定邮箱。逾期提交的或者未提交至电子邮箱的投标文件，招标人拒绝接收。</w:t>
      </w:r>
    </w:p>
    <w:p w14:paraId="02DF3AC3">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sz w:val="22"/>
        </w:rPr>
      </w:pPr>
      <w:r>
        <w:rPr>
          <w:rFonts w:hint="eastAsia" w:ascii="宋体" w:hAnsi="宋体" w:eastAsia="宋体" w:cs="宋体"/>
          <w:sz w:val="22"/>
          <w:lang w:val="en-US" w:eastAsia="zh-CN"/>
        </w:rPr>
        <w:t>2.</w:t>
      </w:r>
      <w:r>
        <w:rPr>
          <w:rFonts w:hint="eastAsia" w:ascii="宋体" w:hAnsi="宋体" w:eastAsia="宋体" w:cs="宋体"/>
          <w:sz w:val="22"/>
        </w:rPr>
        <w:t>电子版投标文件询标方式：</w:t>
      </w:r>
    </w:p>
    <w:p w14:paraId="20607BE7">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sz w:val="22"/>
        </w:rPr>
      </w:pPr>
      <w:r>
        <w:rPr>
          <w:rFonts w:hint="eastAsia" w:ascii="宋体" w:hAnsi="宋体" w:eastAsia="宋体" w:cs="宋体"/>
          <w:sz w:val="22"/>
        </w:rPr>
        <w:t>评标委员会依据</w:t>
      </w:r>
      <w:r>
        <w:rPr>
          <w:rFonts w:hint="eastAsia" w:ascii="宋体" w:hAnsi="宋体" w:cs="宋体"/>
          <w:sz w:val="22"/>
          <w:lang w:eastAsia="zh-CN"/>
        </w:rPr>
        <w:t>遴选文件</w:t>
      </w:r>
      <w:r>
        <w:rPr>
          <w:rFonts w:hint="eastAsia" w:ascii="宋体" w:hAnsi="宋体" w:eastAsia="宋体" w:cs="宋体"/>
          <w:sz w:val="22"/>
        </w:rPr>
        <w:t xml:space="preserve">对电子版投标文件进行评审。评标过程中需要询标的，评标委员会通过现场监督员与投标人进行电话联系，并将询标函发送至投标人的指定邮箱。投标人作出的澄清修改须在20分钟内通过指定邮箱反馈给评标委员会。投标人须随时保持电话及指定邮箱畅通，否则责任自负。 </w:t>
      </w:r>
    </w:p>
    <w:bookmarkEnd w:id="10"/>
    <w:bookmarkEnd w:id="11"/>
    <w:p w14:paraId="5F6DE825">
      <w:pPr>
        <w:pStyle w:val="3"/>
        <w:keepNext/>
        <w:keepLines/>
        <w:pageBreakBefore w:val="0"/>
        <w:widowControl w:val="0"/>
        <w:kinsoku/>
        <w:wordWrap/>
        <w:overflowPunct/>
        <w:topLinePunct w:val="0"/>
        <w:autoSpaceDE/>
        <w:autoSpaceDN/>
        <w:bidi w:val="0"/>
        <w:adjustRightInd/>
        <w:snapToGrid/>
        <w:spacing w:before="200" w:after="200" w:line="360" w:lineRule="auto"/>
        <w:ind w:right="0"/>
        <w:jc w:val="both"/>
        <w:textAlignment w:val="auto"/>
        <w:rPr>
          <w:rFonts w:hint="eastAsia" w:ascii="宋体" w:hAnsi="宋体" w:eastAsia="宋体" w:cs="宋体"/>
          <w:b/>
          <w:bCs/>
          <w:color w:val="auto"/>
          <w:kern w:val="0"/>
          <w:sz w:val="21"/>
          <w:szCs w:val="21"/>
          <w:lang w:val="en-US" w:eastAsia="zh-CN" w:bidi="zh-CN"/>
        </w:rPr>
      </w:pPr>
      <w:r>
        <w:rPr>
          <w:rFonts w:hint="eastAsia" w:ascii="宋体" w:hAnsi="宋体" w:eastAsia="宋体" w:cs="宋体"/>
          <w:b/>
          <w:bCs/>
          <w:color w:val="auto"/>
          <w:kern w:val="0"/>
          <w:sz w:val="21"/>
          <w:szCs w:val="21"/>
          <w:lang w:val="en-US" w:eastAsia="zh-CN" w:bidi="zh-CN"/>
        </w:rPr>
        <w:t>七、联系方法</w:t>
      </w:r>
    </w:p>
    <w:p w14:paraId="2F69DE71">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sz w:val="22"/>
        </w:rPr>
      </w:pPr>
      <w:r>
        <w:rPr>
          <w:rFonts w:hint="eastAsia" w:ascii="宋体" w:hAnsi="宋体" w:cs="宋体"/>
          <w:sz w:val="22"/>
          <w:lang w:val="en-US" w:eastAsia="zh-CN"/>
        </w:rPr>
        <w:t>采购人</w:t>
      </w:r>
      <w:r>
        <w:rPr>
          <w:rFonts w:hint="eastAsia" w:ascii="宋体" w:hAnsi="宋体" w:eastAsia="宋体" w:cs="宋体"/>
          <w:sz w:val="22"/>
        </w:rPr>
        <w:t>：阜阳充电桩有限责任公司</w:t>
      </w:r>
    </w:p>
    <w:p w14:paraId="16A64E30">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sz w:val="22"/>
        </w:rPr>
      </w:pPr>
      <w:r>
        <w:rPr>
          <w:rFonts w:hint="eastAsia" w:ascii="宋体" w:hAnsi="宋体" w:eastAsia="宋体" w:cs="宋体"/>
          <w:sz w:val="22"/>
          <w:lang w:val="en-US" w:eastAsia="zh-CN"/>
        </w:rPr>
        <w:t>通讯地址：</w:t>
      </w:r>
      <w:r>
        <w:rPr>
          <w:rFonts w:hint="eastAsia" w:ascii="宋体" w:hAnsi="宋体" w:eastAsia="宋体" w:cs="宋体"/>
          <w:sz w:val="22"/>
        </w:rPr>
        <w:t>安徽省阜阳市颍州区清河街道淮河路2000号建投大厦12楼会议室</w:t>
      </w:r>
    </w:p>
    <w:p w14:paraId="3D22B736">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sz w:val="22"/>
          <w:lang w:val="en-US" w:eastAsia="zh-CN"/>
        </w:rPr>
      </w:pPr>
      <w:r>
        <w:rPr>
          <w:rFonts w:hint="eastAsia" w:ascii="宋体" w:hAnsi="宋体" w:cs="宋体"/>
          <w:sz w:val="22"/>
          <w:lang w:val="en-US" w:eastAsia="zh-CN"/>
        </w:rPr>
        <w:t>联系人：孙工</w:t>
      </w:r>
    </w:p>
    <w:p w14:paraId="052A9BE7">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sz w:val="22"/>
          <w:lang w:val="en-US" w:eastAsia="zh-CN"/>
        </w:rPr>
      </w:pPr>
      <w:r>
        <w:rPr>
          <w:rFonts w:hint="eastAsia" w:ascii="宋体" w:hAnsi="宋体" w:eastAsia="宋体" w:cs="宋体"/>
          <w:sz w:val="22"/>
        </w:rPr>
        <w:t>联系</w:t>
      </w:r>
      <w:r>
        <w:rPr>
          <w:rFonts w:hint="eastAsia" w:ascii="宋体" w:hAnsi="宋体" w:cs="宋体"/>
          <w:sz w:val="22"/>
          <w:lang w:val="en-US" w:eastAsia="zh-CN"/>
        </w:rPr>
        <w:t>方式</w:t>
      </w:r>
      <w:r>
        <w:rPr>
          <w:rFonts w:hint="eastAsia" w:ascii="宋体" w:hAnsi="宋体" w:eastAsia="宋体" w:cs="宋体"/>
          <w:sz w:val="22"/>
        </w:rPr>
        <w:t>：</w:t>
      </w:r>
      <w:r>
        <w:rPr>
          <w:rFonts w:hint="eastAsia" w:ascii="宋体" w:hAnsi="宋体" w:cs="宋体"/>
          <w:sz w:val="22"/>
          <w:lang w:val="en-US" w:eastAsia="zh-CN"/>
        </w:rPr>
        <w:t>0558-</w:t>
      </w:r>
      <w:r>
        <w:rPr>
          <w:rFonts w:hint="eastAsia" w:ascii="宋体" w:hAnsi="宋体" w:cs="宋体"/>
          <w:sz w:val="22"/>
          <w:lang w:eastAsia="zh-CN"/>
        </w:rPr>
        <w:t>2182619</w:t>
      </w:r>
      <w:r>
        <w:rPr>
          <w:rFonts w:hint="eastAsia" w:ascii="宋体" w:hAnsi="宋体" w:eastAsia="宋体" w:cs="宋体"/>
          <w:sz w:val="22"/>
          <w:lang w:val="en-US" w:eastAsia="zh-CN"/>
        </w:rPr>
        <w:t xml:space="preserve">  </w:t>
      </w:r>
    </w:p>
    <w:bookmarkEnd w:id="12"/>
    <w:p w14:paraId="4AB76B56">
      <w:pPr>
        <w:spacing w:line="360" w:lineRule="auto"/>
        <w:jc w:val="center"/>
        <w:outlineLvl w:val="0"/>
        <w:rPr>
          <w:rStyle w:val="23"/>
          <w:rFonts w:ascii="宋体" w:hAnsi="宋体" w:cs="宋体"/>
        </w:rPr>
      </w:pPr>
      <w:bookmarkStart w:id="25" w:name="_Toc10813"/>
      <w:bookmarkStart w:id="26" w:name="_Toc368985788"/>
      <w:bookmarkStart w:id="27" w:name="_Toc8328"/>
      <w:bookmarkStart w:id="28" w:name="_Toc23477"/>
      <w:r>
        <w:rPr>
          <w:rStyle w:val="23"/>
          <w:rFonts w:hint="eastAsia" w:ascii="宋体" w:hAnsi="宋体" w:cs="宋体"/>
        </w:rPr>
        <w:br w:type="page"/>
      </w:r>
      <w:bookmarkStart w:id="29" w:name="_Toc26234"/>
      <w:bookmarkStart w:id="30" w:name="_Toc535314223"/>
      <w:bookmarkStart w:id="31" w:name="_Toc12663"/>
      <w:r>
        <w:rPr>
          <w:rStyle w:val="23"/>
          <w:rFonts w:hint="eastAsia" w:ascii="宋体" w:hAnsi="宋体" w:cs="宋体"/>
          <w:sz w:val="32"/>
          <w:szCs w:val="32"/>
        </w:rPr>
        <w:t>第二章 投标人须知</w:t>
      </w:r>
      <w:bookmarkEnd w:id="25"/>
      <w:bookmarkEnd w:id="26"/>
      <w:bookmarkEnd w:id="27"/>
      <w:bookmarkEnd w:id="28"/>
      <w:bookmarkEnd w:id="29"/>
      <w:bookmarkEnd w:id="30"/>
      <w:bookmarkEnd w:id="31"/>
    </w:p>
    <w:p w14:paraId="631CA34B">
      <w:pPr>
        <w:spacing w:line="360" w:lineRule="auto"/>
        <w:jc w:val="center"/>
        <w:outlineLvl w:val="1"/>
        <w:rPr>
          <w:rFonts w:ascii="宋体" w:hAnsi="宋体" w:cs="宋体"/>
          <w:b/>
          <w:bCs/>
          <w:sz w:val="28"/>
          <w:szCs w:val="28"/>
        </w:rPr>
      </w:pPr>
      <w:bookmarkStart w:id="32" w:name="_Toc28026"/>
      <w:bookmarkStart w:id="33" w:name="_Toc487641629"/>
      <w:bookmarkStart w:id="34" w:name="_Toc487461248"/>
      <w:bookmarkStart w:id="35" w:name="_Toc13553"/>
      <w:bookmarkStart w:id="36" w:name="_Toc493081564"/>
      <w:bookmarkStart w:id="37" w:name="_Toc179632546"/>
      <w:bookmarkStart w:id="38" w:name="_Toc17457"/>
      <w:bookmarkStart w:id="39" w:name="_Toc144974497"/>
      <w:bookmarkStart w:id="40" w:name="_Toc29425"/>
      <w:bookmarkStart w:id="41" w:name="_Toc2961"/>
      <w:bookmarkStart w:id="42" w:name="_Toc152042305"/>
      <w:bookmarkStart w:id="43" w:name="_Toc152045529"/>
      <w:r>
        <w:rPr>
          <w:rFonts w:hint="eastAsia" w:ascii="宋体" w:hAnsi="宋体" w:cs="宋体"/>
          <w:b/>
          <w:bCs/>
          <w:sz w:val="28"/>
          <w:szCs w:val="28"/>
        </w:rPr>
        <w:t>投标人须知前附表</w:t>
      </w:r>
      <w:bookmarkEnd w:id="32"/>
      <w:bookmarkEnd w:id="33"/>
      <w:bookmarkEnd w:id="34"/>
      <w:bookmarkEnd w:id="35"/>
      <w:bookmarkEnd w:id="36"/>
    </w:p>
    <w:tbl>
      <w:tblPr>
        <w:tblStyle w:val="19"/>
        <w:tblW w:w="1017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4"/>
        <w:gridCol w:w="2310"/>
        <w:gridCol w:w="6865"/>
      </w:tblGrid>
      <w:tr w14:paraId="03BCA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004" w:type="dxa"/>
            <w:vAlign w:val="center"/>
          </w:tcPr>
          <w:p w14:paraId="0939FC0B">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条款号</w:t>
            </w:r>
          </w:p>
        </w:tc>
        <w:tc>
          <w:tcPr>
            <w:tcW w:w="2310" w:type="dxa"/>
            <w:vAlign w:val="center"/>
          </w:tcPr>
          <w:p w14:paraId="017A06C8">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条  款  名  称</w:t>
            </w:r>
          </w:p>
        </w:tc>
        <w:tc>
          <w:tcPr>
            <w:tcW w:w="6865" w:type="dxa"/>
            <w:vAlign w:val="center"/>
          </w:tcPr>
          <w:p w14:paraId="3FDDD3FA">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编  列  内  容</w:t>
            </w:r>
          </w:p>
        </w:tc>
      </w:tr>
      <w:tr w14:paraId="07281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66AE724D">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1.1.1</w:t>
            </w:r>
          </w:p>
        </w:tc>
        <w:tc>
          <w:tcPr>
            <w:tcW w:w="2310" w:type="dxa"/>
            <w:vAlign w:val="center"/>
          </w:tcPr>
          <w:p w14:paraId="01E959F0">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rPr>
              <w:t>招标人</w:t>
            </w:r>
          </w:p>
        </w:tc>
        <w:tc>
          <w:tcPr>
            <w:tcW w:w="6865" w:type="dxa"/>
            <w:vAlign w:val="center"/>
          </w:tcPr>
          <w:p w14:paraId="4DFAEA09">
            <w:pPr>
              <w:keepNext w:val="0"/>
              <w:keepLines w:val="0"/>
              <w:suppressLineNumbers w:val="0"/>
              <w:spacing w:before="0" w:beforeAutospacing="0" w:after="0" w:afterAutospacing="0" w:line="360" w:lineRule="auto"/>
              <w:ind w:left="0" w:right="0"/>
              <w:jc w:val="left"/>
              <w:rPr>
                <w:rFonts w:hint="default" w:ascii="宋体" w:hAnsi="宋体" w:cs="宋体"/>
                <w:szCs w:val="22"/>
              </w:rPr>
            </w:pPr>
            <w:r>
              <w:rPr>
                <w:rFonts w:hint="eastAsia" w:ascii="宋体" w:hAnsi="宋体" w:cs="宋体"/>
                <w:kern w:val="0"/>
              </w:rPr>
              <w:t>阜阳充电桩有限责任公司</w:t>
            </w:r>
            <w:r>
              <w:rPr>
                <w:rFonts w:hint="eastAsia" w:ascii="宋体" w:hAnsi="宋体" w:cs="宋体"/>
                <w:szCs w:val="22"/>
              </w:rPr>
              <w:t xml:space="preserve"> </w:t>
            </w:r>
            <w:r>
              <w:rPr>
                <w:rFonts w:hint="eastAsia" w:ascii="宋体" w:hAnsi="宋体" w:cs="宋体"/>
                <w:sz w:val="22"/>
              </w:rPr>
              <w:t xml:space="preserve"> </w:t>
            </w:r>
          </w:p>
        </w:tc>
      </w:tr>
      <w:tr w14:paraId="17855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5EFADB24">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1.1.2</w:t>
            </w:r>
          </w:p>
        </w:tc>
        <w:tc>
          <w:tcPr>
            <w:tcW w:w="2310" w:type="dxa"/>
            <w:vAlign w:val="center"/>
          </w:tcPr>
          <w:p w14:paraId="20EE8B42">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rPr>
              <w:t>招标代理机构</w:t>
            </w:r>
          </w:p>
        </w:tc>
        <w:tc>
          <w:tcPr>
            <w:tcW w:w="6865" w:type="dxa"/>
            <w:vAlign w:val="center"/>
          </w:tcPr>
          <w:p w14:paraId="1CA59E6E">
            <w:pPr>
              <w:keepNext w:val="0"/>
              <w:keepLines w:val="0"/>
              <w:suppressLineNumbers w:val="0"/>
              <w:spacing w:before="0" w:beforeAutospacing="0" w:after="0" w:afterAutospacing="0" w:line="360" w:lineRule="auto"/>
              <w:ind w:left="0" w:right="0"/>
              <w:rPr>
                <w:rFonts w:hint="eastAsia" w:ascii="宋体" w:hAnsi="宋体" w:eastAsia="宋体" w:cs="宋体"/>
                <w:szCs w:val="22"/>
                <w:lang w:val="en-US" w:eastAsia="zh-CN"/>
              </w:rPr>
            </w:pPr>
            <w:r>
              <w:rPr>
                <w:rFonts w:hint="eastAsia" w:ascii="宋体" w:hAnsi="宋体" w:cs="宋体"/>
                <w:kern w:val="0"/>
                <w:lang w:val="en-US" w:eastAsia="zh-CN"/>
              </w:rPr>
              <w:t>/</w:t>
            </w:r>
          </w:p>
        </w:tc>
      </w:tr>
      <w:tr w14:paraId="31B9E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71FD03E8">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1.3.1</w:t>
            </w:r>
          </w:p>
        </w:tc>
        <w:tc>
          <w:tcPr>
            <w:tcW w:w="2310" w:type="dxa"/>
            <w:vAlign w:val="center"/>
          </w:tcPr>
          <w:p w14:paraId="561A5315">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rPr>
              <w:t>招标范围</w:t>
            </w:r>
          </w:p>
        </w:tc>
        <w:tc>
          <w:tcPr>
            <w:tcW w:w="6865" w:type="dxa"/>
          </w:tcPr>
          <w:p w14:paraId="6D6BF250">
            <w:pPr>
              <w:keepNext w:val="0"/>
              <w:keepLines w:val="0"/>
              <w:suppressLineNumbers w:val="0"/>
              <w:spacing w:before="0" w:beforeAutospacing="0" w:after="120" w:afterAutospacing="0" w:line="360" w:lineRule="auto"/>
              <w:ind w:left="0" w:right="0"/>
              <w:rPr>
                <w:rFonts w:hint="default" w:ascii="宋体" w:hAnsi="宋体" w:cs="宋体"/>
              </w:rPr>
            </w:pPr>
            <w:r>
              <w:rPr>
                <w:rFonts w:hint="eastAsia" w:ascii="宋体" w:hAnsi="宋体" w:cs="宋体"/>
              </w:rPr>
              <w:t>详见</w:t>
            </w:r>
            <w:r>
              <w:rPr>
                <w:rFonts w:hint="eastAsia" w:ascii="宋体" w:hAnsi="宋体" w:cs="宋体"/>
                <w:lang w:val="en-US" w:eastAsia="zh-CN"/>
              </w:rPr>
              <w:t>遴选</w:t>
            </w:r>
            <w:r>
              <w:rPr>
                <w:rFonts w:hint="eastAsia" w:ascii="宋体" w:hAnsi="宋体" w:cs="宋体"/>
              </w:rPr>
              <w:t>公告</w:t>
            </w:r>
          </w:p>
        </w:tc>
      </w:tr>
      <w:tr w14:paraId="3224D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59A3049A">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1.3.2</w:t>
            </w:r>
          </w:p>
        </w:tc>
        <w:tc>
          <w:tcPr>
            <w:tcW w:w="2310" w:type="dxa"/>
            <w:vAlign w:val="center"/>
          </w:tcPr>
          <w:p w14:paraId="0B0CE9E4">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rPr>
              <w:t>服务期限</w:t>
            </w:r>
          </w:p>
        </w:tc>
        <w:tc>
          <w:tcPr>
            <w:tcW w:w="6865" w:type="dxa"/>
            <w:vAlign w:val="center"/>
          </w:tcPr>
          <w:p w14:paraId="1BCC38DB">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rPr>
              <w:t>详见</w:t>
            </w:r>
            <w:r>
              <w:rPr>
                <w:rFonts w:hint="eastAsia" w:ascii="宋体" w:hAnsi="宋体" w:cs="宋体"/>
                <w:lang w:val="en-US" w:eastAsia="zh-CN"/>
              </w:rPr>
              <w:t>遴选</w:t>
            </w:r>
            <w:r>
              <w:rPr>
                <w:rFonts w:hint="eastAsia" w:ascii="宋体" w:hAnsi="宋体" w:cs="宋体"/>
              </w:rPr>
              <w:t>公告</w:t>
            </w:r>
          </w:p>
        </w:tc>
      </w:tr>
      <w:tr w14:paraId="3F7F1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225E0669">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1.3.3</w:t>
            </w:r>
          </w:p>
        </w:tc>
        <w:tc>
          <w:tcPr>
            <w:tcW w:w="2310" w:type="dxa"/>
            <w:vAlign w:val="center"/>
          </w:tcPr>
          <w:p w14:paraId="452A5C13">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rPr>
              <w:t>质量标准</w:t>
            </w:r>
          </w:p>
        </w:tc>
        <w:tc>
          <w:tcPr>
            <w:tcW w:w="6865" w:type="dxa"/>
            <w:vAlign w:val="center"/>
          </w:tcPr>
          <w:p w14:paraId="61A5EE85">
            <w:pPr>
              <w:keepNext w:val="0"/>
              <w:keepLines w:val="0"/>
              <w:suppressLineNumbers w:val="0"/>
              <w:spacing w:before="0" w:beforeAutospacing="0" w:after="0" w:afterAutospacing="0" w:line="360" w:lineRule="auto"/>
              <w:ind w:left="0" w:right="0"/>
              <w:rPr>
                <w:rFonts w:hint="default" w:ascii="宋体" w:hAnsi="宋体" w:cs="宋体"/>
              </w:rPr>
            </w:pPr>
            <w:r>
              <w:rPr>
                <w:rFonts w:hint="eastAsia" w:ascii="宋体" w:hAnsi="宋体" w:cs="宋体"/>
                <w:lang w:val="en-US" w:eastAsia="zh-CN"/>
              </w:rPr>
              <w:t>见遴选公告</w:t>
            </w:r>
          </w:p>
        </w:tc>
      </w:tr>
      <w:tr w14:paraId="01F74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2248ABCB">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1.4.1</w:t>
            </w:r>
          </w:p>
        </w:tc>
        <w:tc>
          <w:tcPr>
            <w:tcW w:w="2310" w:type="dxa"/>
            <w:vAlign w:val="center"/>
          </w:tcPr>
          <w:p w14:paraId="14F99EDF">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rPr>
              <w:t xml:space="preserve">投标人资格要求 </w:t>
            </w:r>
          </w:p>
        </w:tc>
        <w:tc>
          <w:tcPr>
            <w:tcW w:w="6865" w:type="dxa"/>
          </w:tcPr>
          <w:p w14:paraId="391E54C3">
            <w:pPr>
              <w:keepNext w:val="0"/>
              <w:keepLines w:val="0"/>
              <w:widowControl/>
              <w:suppressLineNumbers w:val="0"/>
              <w:shd w:val="clear" w:color="auto" w:fill="FFFFFF"/>
              <w:spacing w:before="0" w:beforeAutospacing="0" w:after="0" w:afterAutospacing="0" w:line="360" w:lineRule="auto"/>
              <w:ind w:left="0" w:right="0"/>
              <w:jc w:val="left"/>
              <w:rPr>
                <w:rFonts w:hint="default" w:ascii="宋体" w:hAnsi="宋体" w:cs="宋体"/>
              </w:rPr>
            </w:pPr>
            <w:r>
              <w:rPr>
                <w:rFonts w:hint="eastAsia" w:ascii="宋体" w:hAnsi="宋体" w:cs="宋体"/>
              </w:rPr>
              <w:t>详见</w:t>
            </w:r>
            <w:r>
              <w:rPr>
                <w:rFonts w:hint="eastAsia" w:ascii="宋体" w:hAnsi="宋体" w:cs="宋体"/>
                <w:lang w:val="en-US" w:eastAsia="zh-CN"/>
              </w:rPr>
              <w:t>遴选</w:t>
            </w:r>
            <w:r>
              <w:rPr>
                <w:rFonts w:hint="eastAsia" w:ascii="宋体" w:hAnsi="宋体" w:cs="宋体"/>
              </w:rPr>
              <w:t>公告</w:t>
            </w:r>
          </w:p>
        </w:tc>
      </w:tr>
      <w:tr w14:paraId="20690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4159C691">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1.4.2</w:t>
            </w:r>
          </w:p>
        </w:tc>
        <w:tc>
          <w:tcPr>
            <w:tcW w:w="2310" w:type="dxa"/>
            <w:vAlign w:val="center"/>
          </w:tcPr>
          <w:p w14:paraId="43DDD076">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rPr>
              <w:t>是否接受联合体投标</w:t>
            </w:r>
          </w:p>
        </w:tc>
        <w:tc>
          <w:tcPr>
            <w:tcW w:w="6865" w:type="dxa"/>
            <w:vAlign w:val="center"/>
          </w:tcPr>
          <w:p w14:paraId="350FA7C3">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shd w:val="clear" w:color="auto" w:fill="000000"/>
                <w:lang w:eastAsia="zh-CN"/>
              </w:rPr>
              <w:t>☑</w:t>
            </w:r>
            <w:r>
              <w:rPr>
                <w:rFonts w:hint="eastAsia" w:ascii="宋体" w:hAnsi="宋体" w:cs="宋体"/>
                <w:szCs w:val="22"/>
              </w:rPr>
              <w:t>不接受</w:t>
            </w:r>
          </w:p>
        </w:tc>
      </w:tr>
      <w:tr w14:paraId="67F82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703BF97D">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1.5</w:t>
            </w:r>
          </w:p>
        </w:tc>
        <w:tc>
          <w:tcPr>
            <w:tcW w:w="2310" w:type="dxa"/>
            <w:vAlign w:val="center"/>
          </w:tcPr>
          <w:p w14:paraId="69D3E0C7">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rPr>
              <w:t>踏勘现场</w:t>
            </w:r>
          </w:p>
        </w:tc>
        <w:tc>
          <w:tcPr>
            <w:tcW w:w="6865" w:type="dxa"/>
            <w:vAlign w:val="center"/>
          </w:tcPr>
          <w:p w14:paraId="74B55988">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shd w:val="clear" w:color="auto" w:fill="000000"/>
                <w:lang w:eastAsia="zh-CN"/>
              </w:rPr>
              <w:t>☑</w:t>
            </w:r>
            <w:r>
              <w:rPr>
                <w:rFonts w:hint="eastAsia" w:ascii="宋体" w:hAnsi="宋体" w:cs="宋体"/>
                <w:szCs w:val="22"/>
              </w:rPr>
              <w:t>不组织；采购人不组织统一现场踏勘，投标人可自行踏勘项目现场，费用自理。</w:t>
            </w:r>
          </w:p>
        </w:tc>
      </w:tr>
      <w:tr w14:paraId="68C61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58D7D814">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1.6</w:t>
            </w:r>
          </w:p>
        </w:tc>
        <w:tc>
          <w:tcPr>
            <w:tcW w:w="2310" w:type="dxa"/>
            <w:vAlign w:val="center"/>
          </w:tcPr>
          <w:p w14:paraId="425E49BE">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rPr>
              <w:t>投标预备会</w:t>
            </w:r>
          </w:p>
        </w:tc>
        <w:tc>
          <w:tcPr>
            <w:tcW w:w="6865" w:type="dxa"/>
            <w:vAlign w:val="center"/>
          </w:tcPr>
          <w:p w14:paraId="6662E010">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shd w:val="clear" w:color="auto" w:fill="000000"/>
                <w:lang w:eastAsia="zh-CN"/>
              </w:rPr>
              <w:t>☑</w:t>
            </w:r>
            <w:r>
              <w:rPr>
                <w:rFonts w:hint="eastAsia" w:ascii="宋体" w:hAnsi="宋体" w:cs="宋体"/>
                <w:szCs w:val="22"/>
              </w:rPr>
              <w:t>不召开</w:t>
            </w:r>
          </w:p>
        </w:tc>
      </w:tr>
      <w:tr w14:paraId="2FD5C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12CD2A52">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1.7</w:t>
            </w:r>
          </w:p>
        </w:tc>
        <w:tc>
          <w:tcPr>
            <w:tcW w:w="2310" w:type="dxa"/>
            <w:vAlign w:val="center"/>
          </w:tcPr>
          <w:p w14:paraId="0E4CA1DF">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rPr>
              <w:t>分  包</w:t>
            </w:r>
          </w:p>
        </w:tc>
        <w:tc>
          <w:tcPr>
            <w:tcW w:w="6865" w:type="dxa"/>
            <w:vAlign w:val="center"/>
          </w:tcPr>
          <w:p w14:paraId="343C01AA">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shd w:val="clear" w:color="auto" w:fill="000000"/>
                <w:lang w:eastAsia="zh-CN"/>
              </w:rPr>
              <w:t>☑</w:t>
            </w:r>
            <w:r>
              <w:rPr>
                <w:rFonts w:hint="eastAsia" w:ascii="宋体" w:hAnsi="宋体" w:cs="宋体"/>
                <w:szCs w:val="22"/>
              </w:rPr>
              <w:t>不允许</w:t>
            </w:r>
          </w:p>
        </w:tc>
      </w:tr>
      <w:tr w14:paraId="347C8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158800F8">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1.8</w:t>
            </w:r>
          </w:p>
        </w:tc>
        <w:tc>
          <w:tcPr>
            <w:tcW w:w="2310" w:type="dxa"/>
            <w:vAlign w:val="center"/>
          </w:tcPr>
          <w:p w14:paraId="64C290A7">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bCs/>
                <w:kern w:val="0"/>
              </w:rPr>
              <w:t>偏  离</w:t>
            </w:r>
          </w:p>
        </w:tc>
        <w:tc>
          <w:tcPr>
            <w:tcW w:w="6865" w:type="dxa"/>
            <w:vAlign w:val="center"/>
          </w:tcPr>
          <w:p w14:paraId="19504FF5">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shd w:val="clear" w:color="auto" w:fill="000000"/>
                <w:lang w:eastAsia="zh-CN"/>
              </w:rPr>
              <w:t>☑</w:t>
            </w:r>
            <w:r>
              <w:rPr>
                <w:rFonts w:hint="eastAsia" w:ascii="宋体" w:hAnsi="宋体" w:cs="宋体"/>
                <w:szCs w:val="22"/>
              </w:rPr>
              <w:t>不允许</w:t>
            </w:r>
          </w:p>
        </w:tc>
      </w:tr>
      <w:tr w14:paraId="5AA33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3C3CF03A">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2.1</w:t>
            </w:r>
          </w:p>
        </w:tc>
        <w:tc>
          <w:tcPr>
            <w:tcW w:w="2310" w:type="dxa"/>
            <w:vAlign w:val="center"/>
          </w:tcPr>
          <w:p w14:paraId="2A3AD9A8">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rPr>
              <w:t>构成</w:t>
            </w:r>
            <w:r>
              <w:rPr>
                <w:rFonts w:hint="eastAsia" w:ascii="宋体" w:hAnsi="宋体" w:cs="宋体"/>
                <w:szCs w:val="22"/>
                <w:lang w:eastAsia="zh-CN"/>
              </w:rPr>
              <w:t>遴选文件</w:t>
            </w:r>
            <w:r>
              <w:rPr>
                <w:rFonts w:hint="eastAsia" w:ascii="宋体" w:hAnsi="宋体" w:cs="宋体"/>
                <w:szCs w:val="22"/>
              </w:rPr>
              <w:t>的其它材料</w:t>
            </w:r>
          </w:p>
        </w:tc>
        <w:tc>
          <w:tcPr>
            <w:tcW w:w="6865" w:type="dxa"/>
            <w:vAlign w:val="center"/>
          </w:tcPr>
          <w:p w14:paraId="78A9C91D">
            <w:pPr>
              <w:keepNext w:val="0"/>
              <w:keepLines w:val="0"/>
              <w:suppressLineNumbers w:val="0"/>
              <w:spacing w:before="0" w:beforeAutospacing="0" w:after="0" w:afterAutospacing="0" w:line="360" w:lineRule="auto"/>
              <w:ind w:left="0" w:right="0"/>
              <w:rPr>
                <w:rFonts w:hint="default" w:ascii="宋体" w:hAnsi="宋体" w:cs="宋体"/>
                <w:szCs w:val="22"/>
                <w:u w:val="single"/>
              </w:rPr>
            </w:pPr>
            <w:r>
              <w:rPr>
                <w:rFonts w:hint="eastAsia" w:ascii="宋体" w:hAnsi="宋体" w:cs="宋体"/>
                <w:bCs/>
                <w:szCs w:val="22"/>
                <w:lang w:eastAsia="zh-CN"/>
              </w:rPr>
              <w:t>遴选文件</w:t>
            </w:r>
            <w:r>
              <w:rPr>
                <w:rFonts w:hint="eastAsia" w:ascii="宋体" w:hAnsi="宋体" w:cs="宋体"/>
                <w:bCs/>
                <w:szCs w:val="22"/>
              </w:rPr>
              <w:t>的澄清、修改文件（答疑回复或更正公告）</w:t>
            </w:r>
          </w:p>
        </w:tc>
      </w:tr>
      <w:tr w14:paraId="61367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5F167FE6">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2.2</w:t>
            </w:r>
          </w:p>
          <w:p w14:paraId="13ADB34F">
            <w:pPr>
              <w:keepNext w:val="0"/>
              <w:keepLines w:val="0"/>
              <w:suppressLineNumbers w:val="0"/>
              <w:spacing w:before="0" w:beforeAutospacing="0" w:after="0" w:afterAutospacing="0" w:line="360" w:lineRule="auto"/>
              <w:ind w:left="0" w:right="0"/>
              <w:jc w:val="center"/>
              <w:rPr>
                <w:rFonts w:hint="default" w:ascii="宋体" w:hAnsi="宋体" w:cs="宋体"/>
                <w:szCs w:val="22"/>
              </w:rPr>
            </w:pPr>
          </w:p>
        </w:tc>
        <w:tc>
          <w:tcPr>
            <w:tcW w:w="2310" w:type="dxa"/>
            <w:vAlign w:val="center"/>
          </w:tcPr>
          <w:p w14:paraId="2D5141FF">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rPr>
              <w:t>对</w:t>
            </w:r>
            <w:r>
              <w:rPr>
                <w:rFonts w:hint="eastAsia" w:ascii="宋体" w:hAnsi="宋体" w:cs="宋体"/>
                <w:szCs w:val="22"/>
                <w:lang w:eastAsia="zh-CN"/>
              </w:rPr>
              <w:t>遴选文件</w:t>
            </w:r>
            <w:r>
              <w:rPr>
                <w:rFonts w:hint="eastAsia" w:ascii="宋体" w:hAnsi="宋体" w:cs="宋体"/>
                <w:szCs w:val="22"/>
              </w:rPr>
              <w:t>提出异议及对异议的答复</w:t>
            </w:r>
          </w:p>
        </w:tc>
        <w:tc>
          <w:tcPr>
            <w:tcW w:w="6865" w:type="dxa"/>
            <w:vAlign w:val="center"/>
          </w:tcPr>
          <w:p w14:paraId="4A1585B7">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szCs w:val="20"/>
              </w:rPr>
            </w:pPr>
            <w:r>
              <w:rPr>
                <w:rFonts w:hint="eastAsia" w:ascii="Times New Roman" w:hAnsi="Times New Roman" w:eastAsia="宋体" w:cs="Times New Roman"/>
                <w:szCs w:val="20"/>
              </w:rPr>
              <w:t>接受质疑的电子邮箱（或公众号）：</w:t>
            </w:r>
            <w:r>
              <w:rPr>
                <w:rFonts w:hint="eastAsia" w:cs="Times New Roman"/>
                <w:szCs w:val="20"/>
                <w:lang w:val="en-US" w:eastAsia="zh-CN"/>
              </w:rPr>
              <w:t>fycdzzc@163.com</w:t>
            </w:r>
            <w:r>
              <w:rPr>
                <w:rFonts w:hint="eastAsia" w:ascii="Times New Roman" w:hAnsi="Times New Roman" w:eastAsia="宋体" w:cs="Times New Roman"/>
                <w:szCs w:val="20"/>
              </w:rPr>
              <w:t xml:space="preserve">    </w:t>
            </w:r>
          </w:p>
          <w:p w14:paraId="7479E658">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szCs w:val="20"/>
              </w:rPr>
            </w:pPr>
            <w:r>
              <w:rPr>
                <w:rFonts w:hint="eastAsia" w:ascii="Times New Roman" w:hAnsi="Times New Roman" w:eastAsia="宋体" w:cs="Times New Roman"/>
                <w:szCs w:val="20"/>
              </w:rPr>
              <w:t>投标人提出质疑的递交方式、截止时间：投标人认为</w:t>
            </w:r>
            <w:r>
              <w:rPr>
                <w:rFonts w:hint="eastAsia" w:cs="Times New Roman"/>
                <w:szCs w:val="20"/>
                <w:lang w:eastAsia="zh-CN"/>
              </w:rPr>
              <w:t>遴选文件</w:t>
            </w:r>
            <w:r>
              <w:rPr>
                <w:rFonts w:hint="eastAsia" w:ascii="Times New Roman" w:hAnsi="Times New Roman" w:eastAsia="宋体" w:cs="Times New Roman"/>
                <w:szCs w:val="20"/>
              </w:rPr>
              <w:t>、中标结果使自己的权益受到损害的，可以在</w:t>
            </w:r>
            <w:r>
              <w:rPr>
                <w:rFonts w:hint="eastAsia" w:cs="Times New Roman"/>
                <w:szCs w:val="20"/>
                <w:lang w:eastAsia="zh-CN"/>
              </w:rPr>
              <w:t>遴选文件</w:t>
            </w:r>
            <w:r>
              <w:rPr>
                <w:rFonts w:hint="eastAsia" w:ascii="Times New Roman" w:hAnsi="Times New Roman" w:eastAsia="宋体" w:cs="Times New Roman"/>
                <w:szCs w:val="20"/>
              </w:rPr>
              <w:t>发布之日起、中标结果公示之日起</w:t>
            </w:r>
            <w:r>
              <w:rPr>
                <w:rFonts w:hint="eastAsia" w:ascii="Times New Roman" w:hAnsi="Times New Roman" w:eastAsia="宋体" w:cs="Times New Roman"/>
                <w:szCs w:val="20"/>
                <w:lang w:val="en-US" w:eastAsia="zh-CN"/>
              </w:rPr>
              <w:t>3</w:t>
            </w:r>
            <w:r>
              <w:rPr>
                <w:rFonts w:hint="eastAsia" w:cs="Times New Roman"/>
                <w:szCs w:val="20"/>
                <w:lang w:val="en-US" w:eastAsia="zh-CN"/>
              </w:rPr>
              <w:t>个工作日</w:t>
            </w:r>
            <w:r>
              <w:rPr>
                <w:rFonts w:hint="eastAsia" w:ascii="Times New Roman" w:hAnsi="Times New Roman" w:eastAsia="宋体" w:cs="Times New Roman"/>
                <w:szCs w:val="20"/>
              </w:rPr>
              <w:t>内，以书面形式向招标人提出质疑，联系方式、通讯地址详见招标公告。质疑函格式参照财政部制定的政府采购投标人质疑函范本。</w:t>
            </w:r>
          </w:p>
          <w:p w14:paraId="6B63F40D">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Times New Roman" w:hAnsi="Times New Roman" w:eastAsia="宋体" w:cs="Times New Roman"/>
                <w:szCs w:val="20"/>
              </w:rPr>
              <w:t>询问答复：在阜阳投资发展集团有限公司网站(http://www.fytfjt.com/)网站发布，招标人不再另行通知。该答复内容为</w:t>
            </w:r>
            <w:r>
              <w:rPr>
                <w:rFonts w:hint="eastAsia" w:cs="Times New Roman"/>
                <w:szCs w:val="20"/>
                <w:lang w:eastAsia="zh-CN"/>
              </w:rPr>
              <w:t>遴选文件</w:t>
            </w:r>
            <w:r>
              <w:rPr>
                <w:rFonts w:hint="eastAsia" w:ascii="Times New Roman" w:hAnsi="Times New Roman" w:eastAsia="宋体" w:cs="Times New Roman"/>
                <w:szCs w:val="20"/>
              </w:rPr>
              <w:t>的组成部分，对投标人具有同样约束力效力。投标人应主动上网查询。招标人不承担投标人未及时关注相关信息引发的相关责任。</w:t>
            </w:r>
          </w:p>
        </w:tc>
      </w:tr>
      <w:tr w14:paraId="445C8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61FE2CA3">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2.3</w:t>
            </w:r>
          </w:p>
        </w:tc>
        <w:tc>
          <w:tcPr>
            <w:tcW w:w="2310" w:type="dxa"/>
            <w:vAlign w:val="center"/>
          </w:tcPr>
          <w:p w14:paraId="1F56463E">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lang w:eastAsia="zh-CN"/>
              </w:rPr>
              <w:t>遴选文件</w:t>
            </w:r>
            <w:r>
              <w:rPr>
                <w:rFonts w:hint="eastAsia" w:ascii="宋体" w:hAnsi="宋体" w:cs="宋体"/>
                <w:szCs w:val="22"/>
              </w:rPr>
              <w:t>的澄清及修改</w:t>
            </w:r>
          </w:p>
        </w:tc>
        <w:tc>
          <w:tcPr>
            <w:tcW w:w="6865" w:type="dxa"/>
            <w:vAlign w:val="center"/>
          </w:tcPr>
          <w:p w14:paraId="0FAF7A47">
            <w:pPr>
              <w:keepNext w:val="0"/>
              <w:keepLines w:val="0"/>
              <w:suppressLineNumbers w:val="0"/>
              <w:spacing w:before="0" w:beforeAutospacing="0" w:after="120" w:afterAutospacing="0" w:line="360" w:lineRule="auto"/>
              <w:ind w:left="0" w:right="0"/>
              <w:rPr>
                <w:rFonts w:hint="default" w:ascii="宋体" w:hAnsi="宋体" w:cs="宋体"/>
                <w:sz w:val="22"/>
                <w:szCs w:val="22"/>
              </w:rPr>
            </w:pPr>
            <w:r>
              <w:rPr>
                <w:rFonts w:hint="eastAsia" w:ascii="宋体" w:hAnsi="宋体" w:cs="宋体"/>
                <w:sz w:val="22"/>
                <w:szCs w:val="22"/>
              </w:rPr>
              <w:t>澄清或修改：在</w:t>
            </w:r>
            <w:r>
              <w:rPr>
                <w:rFonts w:hint="eastAsia" w:ascii="宋体" w:hAnsi="宋体" w:cs="宋体"/>
                <w:kern w:val="0"/>
                <w:sz w:val="22"/>
              </w:rPr>
              <w:t>阜阳投资发展集团有限公司网站</w:t>
            </w:r>
            <w:r>
              <w:rPr>
                <w:rFonts w:hint="eastAsia" w:ascii="宋体" w:hAnsi="宋体" w:cs="宋体"/>
                <w:sz w:val="22"/>
                <w:szCs w:val="22"/>
              </w:rPr>
              <w:t>(http://www.fytfjt.com/)网站发布，招标人不再另行通知。该澄清或修改内容为</w:t>
            </w:r>
            <w:r>
              <w:rPr>
                <w:rFonts w:hint="eastAsia" w:ascii="宋体" w:hAnsi="宋体" w:cs="宋体"/>
                <w:sz w:val="22"/>
                <w:szCs w:val="22"/>
                <w:lang w:eastAsia="zh-CN"/>
              </w:rPr>
              <w:t>遴选文件</w:t>
            </w:r>
            <w:r>
              <w:rPr>
                <w:rFonts w:hint="eastAsia" w:ascii="宋体" w:hAnsi="宋体" w:cs="宋体"/>
                <w:sz w:val="22"/>
                <w:szCs w:val="22"/>
              </w:rPr>
              <w:t>的组成部分，对投标人具有同样约束力效力。投标人应主动上网查询。招标人不承担投标人未及时关注相关信息引发的相关责任。</w:t>
            </w:r>
          </w:p>
          <w:p w14:paraId="076C6BDF">
            <w:pPr>
              <w:keepNext w:val="0"/>
              <w:keepLines w:val="0"/>
              <w:suppressLineNumbers w:val="0"/>
              <w:spacing w:before="0" w:beforeAutospacing="0" w:after="120" w:afterAutospacing="0" w:line="360" w:lineRule="auto"/>
              <w:ind w:left="0" w:right="0"/>
              <w:rPr>
                <w:rFonts w:hint="default" w:ascii="宋体" w:hAnsi="宋体" w:cs="宋体"/>
                <w:sz w:val="22"/>
                <w:szCs w:val="22"/>
              </w:rPr>
            </w:pPr>
            <w:r>
              <w:rPr>
                <w:rFonts w:hint="eastAsia" w:ascii="宋体" w:hAnsi="宋体" w:cs="宋体"/>
                <w:kern w:val="0"/>
                <w:sz w:val="22"/>
                <w:szCs w:val="22"/>
              </w:rPr>
              <w:t>澄清或者修改的内容可能影响投标文件编制的，招标人将在投标截止时间至少</w:t>
            </w:r>
            <w:r>
              <w:rPr>
                <w:rFonts w:hint="eastAsia" w:ascii="宋体" w:hAnsi="宋体" w:cs="宋体"/>
                <w:kern w:val="0"/>
                <w:sz w:val="22"/>
                <w:szCs w:val="22"/>
                <w:lang w:val="en-US" w:eastAsia="zh-CN"/>
              </w:rPr>
              <w:t>3</w:t>
            </w:r>
            <w:r>
              <w:rPr>
                <w:rFonts w:hint="eastAsia" w:ascii="宋体" w:hAnsi="宋体" w:cs="宋体"/>
                <w:kern w:val="0"/>
                <w:sz w:val="22"/>
                <w:szCs w:val="22"/>
              </w:rPr>
              <w:t>日前，</w:t>
            </w:r>
            <w:r>
              <w:rPr>
                <w:rFonts w:hint="eastAsia" w:ascii="宋体" w:hAnsi="宋体" w:cs="宋体"/>
                <w:sz w:val="22"/>
                <w:szCs w:val="22"/>
              </w:rPr>
              <w:t>在</w:t>
            </w:r>
            <w:r>
              <w:rPr>
                <w:rFonts w:hint="eastAsia" w:ascii="宋体" w:hAnsi="宋体" w:cs="宋体"/>
                <w:kern w:val="0"/>
                <w:sz w:val="22"/>
              </w:rPr>
              <w:t>阜阳投资发展集团有限公司网站</w:t>
            </w:r>
            <w:r>
              <w:rPr>
                <w:rFonts w:hint="eastAsia" w:ascii="宋体" w:hAnsi="宋体" w:cs="宋体"/>
                <w:kern w:val="0"/>
                <w:sz w:val="22"/>
                <w:szCs w:val="22"/>
              </w:rPr>
              <w:t>(http://www.fytfjt.com/)网站</w:t>
            </w:r>
            <w:r>
              <w:rPr>
                <w:rFonts w:hint="eastAsia" w:ascii="宋体" w:hAnsi="宋体" w:cs="宋体"/>
                <w:sz w:val="22"/>
                <w:szCs w:val="22"/>
              </w:rPr>
              <w:t>发布</w:t>
            </w:r>
            <w:r>
              <w:rPr>
                <w:rFonts w:hint="eastAsia" w:ascii="宋体" w:hAnsi="宋体" w:cs="宋体"/>
                <w:kern w:val="0"/>
                <w:sz w:val="22"/>
                <w:szCs w:val="22"/>
              </w:rPr>
              <w:t>通知所有获取</w:t>
            </w:r>
            <w:r>
              <w:rPr>
                <w:rFonts w:hint="eastAsia" w:ascii="宋体" w:hAnsi="宋体" w:cs="宋体"/>
                <w:kern w:val="0"/>
                <w:sz w:val="22"/>
                <w:szCs w:val="22"/>
                <w:lang w:eastAsia="zh-CN"/>
              </w:rPr>
              <w:t>遴选文件</w:t>
            </w:r>
            <w:r>
              <w:rPr>
                <w:rFonts w:hint="eastAsia" w:ascii="宋体" w:hAnsi="宋体" w:cs="宋体"/>
                <w:kern w:val="0"/>
                <w:sz w:val="22"/>
                <w:szCs w:val="22"/>
              </w:rPr>
              <w:t>的潜在投标人；不足</w:t>
            </w:r>
            <w:r>
              <w:rPr>
                <w:rFonts w:hint="eastAsia" w:ascii="宋体" w:hAnsi="宋体" w:cs="宋体"/>
                <w:kern w:val="0"/>
                <w:sz w:val="22"/>
                <w:szCs w:val="22"/>
                <w:lang w:val="en-US" w:eastAsia="zh-CN"/>
              </w:rPr>
              <w:t>3</w:t>
            </w:r>
            <w:r>
              <w:rPr>
                <w:rFonts w:hint="eastAsia" w:ascii="宋体" w:hAnsi="宋体" w:cs="宋体"/>
                <w:kern w:val="0"/>
                <w:sz w:val="22"/>
                <w:szCs w:val="22"/>
              </w:rPr>
              <w:t>日的，顺延提交投标文件的截止时间。</w:t>
            </w:r>
          </w:p>
          <w:p w14:paraId="64C40265">
            <w:pPr>
              <w:keepNext w:val="0"/>
              <w:keepLines w:val="0"/>
              <w:suppressLineNumbers w:val="0"/>
              <w:spacing w:before="0" w:beforeAutospacing="0" w:after="120" w:afterAutospacing="0" w:line="360" w:lineRule="auto"/>
              <w:ind w:left="0" w:right="0"/>
              <w:rPr>
                <w:rFonts w:hint="default" w:ascii="宋体" w:hAnsi="宋体" w:cs="宋体"/>
                <w:sz w:val="22"/>
                <w:szCs w:val="22"/>
              </w:rPr>
            </w:pPr>
            <w:r>
              <w:rPr>
                <w:rFonts w:hint="eastAsia" w:ascii="宋体" w:hAnsi="宋体" w:cs="宋体"/>
                <w:kern w:val="0"/>
                <w:sz w:val="22"/>
                <w:szCs w:val="22"/>
              </w:rPr>
              <w:t>在投标截止时间前，招标人可以视采购具体情况，延长投标截止时间和开标时间，并在</w:t>
            </w:r>
            <w:r>
              <w:rPr>
                <w:rFonts w:hint="eastAsia" w:ascii="宋体" w:hAnsi="宋体" w:cs="宋体"/>
                <w:kern w:val="0"/>
                <w:sz w:val="22"/>
                <w:szCs w:val="22"/>
                <w:lang w:eastAsia="zh-CN"/>
              </w:rPr>
              <w:t>遴选文件</w:t>
            </w:r>
            <w:r>
              <w:rPr>
                <w:rFonts w:hint="eastAsia" w:ascii="宋体" w:hAnsi="宋体" w:cs="宋体"/>
                <w:kern w:val="0"/>
                <w:sz w:val="22"/>
                <w:szCs w:val="22"/>
              </w:rPr>
              <w:t>要求提交投标文件的截止时间三日前，在网站上发布变更公告。在上述情况下，招标人和投标人在投标截止期方面的全部权力、责任和义务，将适用于延长后新的投标截止期。</w:t>
            </w:r>
          </w:p>
        </w:tc>
      </w:tr>
      <w:tr w14:paraId="7DD6D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60B4D670">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3.1</w:t>
            </w:r>
          </w:p>
        </w:tc>
        <w:tc>
          <w:tcPr>
            <w:tcW w:w="2310" w:type="dxa"/>
            <w:vAlign w:val="center"/>
          </w:tcPr>
          <w:p w14:paraId="35603E0A">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rPr>
              <w:t>投标有效期</w:t>
            </w:r>
          </w:p>
        </w:tc>
        <w:tc>
          <w:tcPr>
            <w:tcW w:w="6865" w:type="dxa"/>
            <w:vAlign w:val="center"/>
          </w:tcPr>
          <w:p w14:paraId="6B27A64F">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rPr>
              <w:t>投标截止时间之日起</w:t>
            </w:r>
            <w:r>
              <w:rPr>
                <w:rFonts w:hint="eastAsia" w:ascii="宋体" w:hAnsi="宋体" w:cs="宋体"/>
                <w:szCs w:val="22"/>
                <w:lang w:val="en-US" w:eastAsia="zh-CN"/>
              </w:rPr>
              <w:t>90</w:t>
            </w:r>
            <w:r>
              <w:rPr>
                <w:rFonts w:hint="eastAsia" w:ascii="宋体" w:hAnsi="宋体" w:cs="宋体"/>
                <w:szCs w:val="22"/>
              </w:rPr>
              <w:t xml:space="preserve"> 日历天</w:t>
            </w:r>
          </w:p>
        </w:tc>
      </w:tr>
      <w:tr w14:paraId="7BFB6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7FA2225D">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3.2</w:t>
            </w:r>
          </w:p>
        </w:tc>
        <w:tc>
          <w:tcPr>
            <w:tcW w:w="2310" w:type="dxa"/>
            <w:vAlign w:val="center"/>
          </w:tcPr>
          <w:p w14:paraId="7AEFE21B">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rPr>
              <w:t>投标保证金</w:t>
            </w:r>
          </w:p>
        </w:tc>
        <w:tc>
          <w:tcPr>
            <w:tcW w:w="6865" w:type="dxa"/>
            <w:vAlign w:val="center"/>
          </w:tcPr>
          <w:p w14:paraId="6B98790D">
            <w:pPr>
              <w:keepNext w:val="0"/>
              <w:keepLines w:val="0"/>
              <w:suppressLineNumbers w:val="0"/>
              <w:spacing w:before="0" w:beforeAutospacing="0" w:after="120" w:afterAutospacing="0" w:line="360" w:lineRule="auto"/>
              <w:ind w:left="0" w:right="0"/>
              <w:rPr>
                <w:rFonts w:hint="default" w:ascii="宋体" w:hAnsi="宋体" w:cs="宋体"/>
                <w:b/>
                <w:szCs w:val="22"/>
              </w:rPr>
            </w:pPr>
            <w:r>
              <w:rPr>
                <w:rFonts w:hint="eastAsia" w:ascii="宋体" w:hAnsi="宋体" w:cs="宋体"/>
                <w:szCs w:val="22"/>
              </w:rPr>
              <w:t>免收</w:t>
            </w:r>
          </w:p>
        </w:tc>
      </w:tr>
      <w:tr w14:paraId="51D1C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4B5C62CA">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3.3</w:t>
            </w:r>
          </w:p>
        </w:tc>
        <w:tc>
          <w:tcPr>
            <w:tcW w:w="2310" w:type="dxa"/>
            <w:vAlign w:val="center"/>
          </w:tcPr>
          <w:p w14:paraId="6D77E788">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rPr>
              <w:t>是否允许递交备选投标方案</w:t>
            </w:r>
          </w:p>
        </w:tc>
        <w:tc>
          <w:tcPr>
            <w:tcW w:w="6865" w:type="dxa"/>
            <w:vAlign w:val="center"/>
          </w:tcPr>
          <w:p w14:paraId="40F89CAD">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shd w:val="clear" w:color="auto" w:fill="000000"/>
                <w:lang w:eastAsia="zh-CN"/>
              </w:rPr>
              <w:t>☑</w:t>
            </w:r>
            <w:r>
              <w:rPr>
                <w:rFonts w:hint="eastAsia" w:ascii="宋体" w:hAnsi="宋体" w:cs="宋体"/>
                <w:szCs w:val="22"/>
              </w:rPr>
              <w:t>不允许</w:t>
            </w:r>
          </w:p>
        </w:tc>
      </w:tr>
      <w:tr w14:paraId="6141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0B293E06">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3.4</w:t>
            </w:r>
          </w:p>
        </w:tc>
        <w:tc>
          <w:tcPr>
            <w:tcW w:w="2310" w:type="dxa"/>
            <w:vAlign w:val="center"/>
          </w:tcPr>
          <w:p w14:paraId="1F9364EC">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rPr>
              <w:t>签字或盖章要求</w:t>
            </w:r>
          </w:p>
        </w:tc>
        <w:tc>
          <w:tcPr>
            <w:tcW w:w="6865" w:type="dxa"/>
            <w:vAlign w:val="center"/>
          </w:tcPr>
          <w:p w14:paraId="2CE47E4D">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rPr>
              <w:t>符合第六章投标文件格式要求</w:t>
            </w:r>
          </w:p>
        </w:tc>
      </w:tr>
      <w:tr w14:paraId="5E9C3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4102A9C5">
            <w:pPr>
              <w:keepNext w:val="0"/>
              <w:keepLines w:val="0"/>
              <w:suppressLineNumbers w:val="0"/>
              <w:spacing w:before="0" w:beforeAutospacing="0" w:after="0" w:afterAutospacing="0" w:line="360" w:lineRule="auto"/>
              <w:ind w:left="0" w:right="0"/>
              <w:jc w:val="center"/>
              <w:rPr>
                <w:rFonts w:hint="default" w:ascii="宋体" w:hAnsi="宋体" w:cs="宋体"/>
                <w:sz w:val="20"/>
                <w:szCs w:val="20"/>
              </w:rPr>
            </w:pPr>
            <w:r>
              <w:rPr>
                <w:rFonts w:hint="eastAsia" w:ascii="宋体" w:hAnsi="宋体" w:cs="宋体"/>
                <w:sz w:val="20"/>
                <w:szCs w:val="20"/>
              </w:rPr>
              <w:t>3.5</w:t>
            </w:r>
          </w:p>
        </w:tc>
        <w:tc>
          <w:tcPr>
            <w:tcW w:w="2310" w:type="dxa"/>
            <w:vAlign w:val="center"/>
          </w:tcPr>
          <w:p w14:paraId="32DD5390">
            <w:pPr>
              <w:keepNext w:val="0"/>
              <w:keepLines w:val="0"/>
              <w:suppressLineNumbers w:val="0"/>
              <w:spacing w:before="0" w:beforeAutospacing="0" w:after="0" w:afterAutospacing="0" w:line="360" w:lineRule="auto"/>
              <w:ind w:left="0" w:right="0"/>
              <w:jc w:val="left"/>
              <w:rPr>
                <w:rFonts w:hint="default" w:ascii="宋体" w:hAnsi="宋体" w:cs="宋体"/>
                <w:sz w:val="22"/>
                <w:szCs w:val="22"/>
              </w:rPr>
            </w:pPr>
            <w:r>
              <w:rPr>
                <w:rFonts w:hint="eastAsia" w:ascii="宋体" w:hAnsi="宋体" w:cs="宋体"/>
                <w:sz w:val="22"/>
                <w:szCs w:val="22"/>
              </w:rPr>
              <w:t>投标文件份数</w:t>
            </w:r>
          </w:p>
        </w:tc>
        <w:tc>
          <w:tcPr>
            <w:tcW w:w="6865" w:type="dxa"/>
            <w:vAlign w:val="center"/>
          </w:tcPr>
          <w:p w14:paraId="0C17A5EF">
            <w:pPr>
              <w:keepNext w:val="0"/>
              <w:keepLines w:val="0"/>
              <w:suppressLineNumbers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cs="宋体"/>
                <w:sz w:val="22"/>
                <w:szCs w:val="22"/>
              </w:rPr>
              <w:t>电子版1份</w:t>
            </w:r>
            <w:r>
              <w:rPr>
                <w:rFonts w:hint="eastAsia" w:ascii="宋体" w:hAnsi="宋体" w:cs="宋体"/>
                <w:sz w:val="22"/>
                <w:szCs w:val="22"/>
                <w:lang w:eastAsia="zh-CN"/>
              </w:rPr>
              <w:t>，中标后应提交纸质版投标文件：正本 1 份。</w:t>
            </w:r>
          </w:p>
        </w:tc>
      </w:tr>
      <w:tr w14:paraId="05E35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50E65154">
            <w:pPr>
              <w:keepNext w:val="0"/>
              <w:keepLines w:val="0"/>
              <w:suppressLineNumbers w:val="0"/>
              <w:spacing w:before="0" w:beforeAutospacing="0" w:after="0" w:afterAutospacing="0" w:line="360" w:lineRule="auto"/>
              <w:ind w:left="0" w:right="0"/>
              <w:jc w:val="center"/>
              <w:rPr>
                <w:rFonts w:hint="default" w:ascii="宋体" w:hAnsi="宋体" w:cs="宋体"/>
                <w:sz w:val="20"/>
                <w:szCs w:val="20"/>
              </w:rPr>
            </w:pPr>
            <w:r>
              <w:rPr>
                <w:rFonts w:hint="eastAsia" w:ascii="宋体" w:hAnsi="宋体" w:cs="宋体"/>
                <w:sz w:val="20"/>
                <w:szCs w:val="20"/>
              </w:rPr>
              <w:t>4.1</w:t>
            </w:r>
          </w:p>
        </w:tc>
        <w:tc>
          <w:tcPr>
            <w:tcW w:w="2310" w:type="dxa"/>
            <w:vAlign w:val="center"/>
          </w:tcPr>
          <w:p w14:paraId="6E0D7D60">
            <w:pPr>
              <w:keepNext w:val="0"/>
              <w:keepLines w:val="0"/>
              <w:suppressLineNumbers w:val="0"/>
              <w:spacing w:before="0" w:beforeAutospacing="0" w:after="0" w:afterAutospacing="0" w:line="360" w:lineRule="auto"/>
              <w:ind w:left="0" w:right="0"/>
              <w:jc w:val="left"/>
              <w:rPr>
                <w:rFonts w:hint="default" w:ascii="宋体" w:hAnsi="宋体" w:cs="宋体"/>
                <w:sz w:val="22"/>
                <w:szCs w:val="22"/>
              </w:rPr>
            </w:pPr>
            <w:r>
              <w:rPr>
                <w:rFonts w:hint="eastAsia" w:ascii="宋体" w:hAnsi="宋体" w:cs="宋体"/>
                <w:sz w:val="22"/>
                <w:szCs w:val="22"/>
              </w:rPr>
              <w:t>电子版文件备注内容</w:t>
            </w:r>
          </w:p>
        </w:tc>
        <w:tc>
          <w:tcPr>
            <w:tcW w:w="6865" w:type="dxa"/>
            <w:vAlign w:val="center"/>
          </w:tcPr>
          <w:p w14:paraId="064107B0">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详见</w:t>
            </w:r>
            <w:r>
              <w:rPr>
                <w:rFonts w:hint="eastAsia" w:ascii="宋体" w:hAnsi="宋体" w:cs="宋体"/>
                <w:sz w:val="22"/>
                <w:szCs w:val="22"/>
                <w:lang w:val="en-US" w:eastAsia="zh-CN"/>
              </w:rPr>
              <w:t>遴选</w:t>
            </w:r>
            <w:r>
              <w:rPr>
                <w:rFonts w:hint="eastAsia" w:ascii="宋体" w:hAnsi="宋体" w:cs="宋体"/>
                <w:sz w:val="22"/>
                <w:szCs w:val="22"/>
              </w:rPr>
              <w:t>公告</w:t>
            </w:r>
          </w:p>
        </w:tc>
      </w:tr>
      <w:tr w14:paraId="6D33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6B7A9F98">
            <w:pPr>
              <w:keepNext w:val="0"/>
              <w:keepLines w:val="0"/>
              <w:suppressLineNumbers w:val="0"/>
              <w:spacing w:before="0" w:beforeAutospacing="0" w:after="0" w:afterAutospacing="0" w:line="360" w:lineRule="auto"/>
              <w:ind w:left="0" w:right="0"/>
              <w:jc w:val="center"/>
              <w:rPr>
                <w:rFonts w:hint="default" w:ascii="宋体" w:hAnsi="宋体" w:cs="宋体"/>
                <w:sz w:val="20"/>
                <w:szCs w:val="20"/>
              </w:rPr>
            </w:pPr>
            <w:r>
              <w:rPr>
                <w:rFonts w:hint="eastAsia" w:ascii="宋体" w:hAnsi="宋体" w:cs="宋体"/>
                <w:sz w:val="20"/>
                <w:szCs w:val="20"/>
              </w:rPr>
              <w:t>4.2.1</w:t>
            </w:r>
          </w:p>
        </w:tc>
        <w:tc>
          <w:tcPr>
            <w:tcW w:w="2310" w:type="dxa"/>
            <w:vAlign w:val="center"/>
          </w:tcPr>
          <w:p w14:paraId="2DC4DCB8">
            <w:pPr>
              <w:keepNext w:val="0"/>
              <w:keepLines w:val="0"/>
              <w:suppressLineNumbers w:val="0"/>
              <w:spacing w:before="0" w:beforeAutospacing="0" w:after="0" w:afterAutospacing="0" w:line="360" w:lineRule="auto"/>
              <w:ind w:left="0" w:right="0"/>
              <w:jc w:val="left"/>
              <w:rPr>
                <w:rFonts w:hint="default" w:ascii="宋体" w:hAnsi="宋体" w:cs="宋体"/>
                <w:sz w:val="22"/>
                <w:szCs w:val="22"/>
              </w:rPr>
            </w:pPr>
            <w:r>
              <w:rPr>
                <w:rFonts w:hint="eastAsia" w:ascii="宋体" w:hAnsi="宋体" w:cs="宋体"/>
                <w:sz w:val="22"/>
                <w:szCs w:val="22"/>
              </w:rPr>
              <w:t>投标文件递交、截止时间</w:t>
            </w:r>
          </w:p>
        </w:tc>
        <w:tc>
          <w:tcPr>
            <w:tcW w:w="6865" w:type="dxa"/>
            <w:vAlign w:val="center"/>
          </w:tcPr>
          <w:p w14:paraId="68534F99">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详见</w:t>
            </w:r>
            <w:r>
              <w:rPr>
                <w:rFonts w:hint="eastAsia" w:ascii="宋体" w:hAnsi="宋体" w:cs="宋体"/>
                <w:sz w:val="22"/>
                <w:szCs w:val="22"/>
                <w:lang w:val="en-US" w:eastAsia="zh-CN"/>
              </w:rPr>
              <w:t>遴选</w:t>
            </w:r>
            <w:r>
              <w:rPr>
                <w:rFonts w:hint="eastAsia" w:ascii="宋体" w:hAnsi="宋体" w:cs="宋体"/>
                <w:sz w:val="22"/>
                <w:szCs w:val="22"/>
              </w:rPr>
              <w:t>公告</w:t>
            </w:r>
          </w:p>
        </w:tc>
      </w:tr>
      <w:tr w14:paraId="2B787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0571A022">
            <w:pPr>
              <w:keepNext w:val="0"/>
              <w:keepLines w:val="0"/>
              <w:suppressLineNumbers w:val="0"/>
              <w:spacing w:before="0" w:beforeAutospacing="0" w:after="0" w:afterAutospacing="0" w:line="360" w:lineRule="auto"/>
              <w:ind w:left="0" w:right="0"/>
              <w:jc w:val="center"/>
              <w:rPr>
                <w:rFonts w:hint="default" w:ascii="宋体" w:hAnsi="宋体" w:cs="宋体"/>
                <w:sz w:val="20"/>
                <w:szCs w:val="20"/>
              </w:rPr>
            </w:pPr>
            <w:r>
              <w:rPr>
                <w:rFonts w:hint="eastAsia" w:ascii="宋体" w:hAnsi="宋体" w:cs="宋体"/>
                <w:sz w:val="20"/>
                <w:szCs w:val="20"/>
              </w:rPr>
              <w:t>4.2.2</w:t>
            </w:r>
          </w:p>
        </w:tc>
        <w:tc>
          <w:tcPr>
            <w:tcW w:w="2310" w:type="dxa"/>
            <w:vAlign w:val="center"/>
          </w:tcPr>
          <w:p w14:paraId="71DBEA70">
            <w:pPr>
              <w:keepNext w:val="0"/>
              <w:keepLines w:val="0"/>
              <w:suppressLineNumbers w:val="0"/>
              <w:spacing w:before="0" w:beforeAutospacing="0" w:after="0" w:afterAutospacing="0" w:line="360" w:lineRule="auto"/>
              <w:ind w:left="0" w:right="0"/>
              <w:jc w:val="left"/>
              <w:rPr>
                <w:rFonts w:hint="default" w:ascii="宋体" w:hAnsi="宋体" w:cs="宋体"/>
                <w:sz w:val="22"/>
                <w:szCs w:val="22"/>
              </w:rPr>
            </w:pPr>
            <w:r>
              <w:rPr>
                <w:rFonts w:hint="eastAsia" w:ascii="宋体" w:hAnsi="宋体" w:cs="宋体"/>
                <w:sz w:val="22"/>
                <w:szCs w:val="22"/>
              </w:rPr>
              <w:t>递交投标文件地点</w:t>
            </w:r>
          </w:p>
        </w:tc>
        <w:tc>
          <w:tcPr>
            <w:tcW w:w="6865" w:type="dxa"/>
            <w:vAlign w:val="center"/>
          </w:tcPr>
          <w:p w14:paraId="2B54AC7C">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详见</w:t>
            </w:r>
            <w:r>
              <w:rPr>
                <w:rFonts w:hint="eastAsia" w:ascii="宋体" w:hAnsi="宋体" w:cs="宋体"/>
                <w:sz w:val="22"/>
                <w:szCs w:val="22"/>
                <w:lang w:val="en-US" w:eastAsia="zh-CN"/>
              </w:rPr>
              <w:t>遴选</w:t>
            </w:r>
            <w:r>
              <w:rPr>
                <w:rFonts w:hint="eastAsia" w:ascii="宋体" w:hAnsi="宋体" w:cs="宋体"/>
                <w:sz w:val="22"/>
                <w:szCs w:val="22"/>
              </w:rPr>
              <w:t>公告</w:t>
            </w:r>
          </w:p>
        </w:tc>
      </w:tr>
      <w:tr w14:paraId="1E0DB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1C291F8C">
            <w:pPr>
              <w:keepNext w:val="0"/>
              <w:keepLines w:val="0"/>
              <w:suppressLineNumbers w:val="0"/>
              <w:spacing w:before="0" w:beforeAutospacing="0" w:after="0" w:afterAutospacing="0" w:line="360" w:lineRule="auto"/>
              <w:ind w:left="0" w:right="0"/>
              <w:jc w:val="center"/>
              <w:rPr>
                <w:rFonts w:hint="default" w:ascii="宋体" w:hAnsi="宋体" w:cs="宋体"/>
                <w:sz w:val="20"/>
                <w:szCs w:val="20"/>
              </w:rPr>
            </w:pPr>
            <w:r>
              <w:rPr>
                <w:rFonts w:hint="eastAsia" w:ascii="宋体" w:hAnsi="宋体" w:cs="宋体"/>
                <w:sz w:val="20"/>
                <w:szCs w:val="20"/>
              </w:rPr>
              <w:t>4.2.3</w:t>
            </w:r>
          </w:p>
        </w:tc>
        <w:tc>
          <w:tcPr>
            <w:tcW w:w="2310" w:type="dxa"/>
            <w:vAlign w:val="center"/>
          </w:tcPr>
          <w:p w14:paraId="674B9A39">
            <w:pPr>
              <w:keepNext w:val="0"/>
              <w:keepLines w:val="0"/>
              <w:suppressLineNumbers w:val="0"/>
              <w:spacing w:before="0" w:beforeAutospacing="0" w:after="0" w:afterAutospacing="0" w:line="360" w:lineRule="auto"/>
              <w:ind w:left="0" w:right="0"/>
              <w:jc w:val="left"/>
              <w:rPr>
                <w:rFonts w:hint="default" w:ascii="宋体" w:hAnsi="宋体" w:cs="宋体"/>
                <w:sz w:val="22"/>
                <w:szCs w:val="22"/>
              </w:rPr>
            </w:pPr>
            <w:r>
              <w:rPr>
                <w:rFonts w:hint="eastAsia" w:ascii="宋体" w:hAnsi="宋体" w:cs="宋体"/>
                <w:sz w:val="22"/>
                <w:szCs w:val="22"/>
              </w:rPr>
              <w:t>是否退还投标文件</w:t>
            </w:r>
          </w:p>
        </w:tc>
        <w:tc>
          <w:tcPr>
            <w:tcW w:w="6865" w:type="dxa"/>
            <w:vAlign w:val="center"/>
          </w:tcPr>
          <w:p w14:paraId="6064EF72">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否</w:t>
            </w:r>
          </w:p>
        </w:tc>
      </w:tr>
      <w:tr w14:paraId="64A72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1C4879A1">
            <w:pPr>
              <w:keepNext w:val="0"/>
              <w:keepLines w:val="0"/>
              <w:suppressLineNumbers w:val="0"/>
              <w:spacing w:before="0" w:beforeAutospacing="0" w:after="0" w:afterAutospacing="0" w:line="360" w:lineRule="auto"/>
              <w:ind w:left="0" w:right="0"/>
              <w:jc w:val="center"/>
              <w:rPr>
                <w:rFonts w:hint="default" w:ascii="宋体" w:hAnsi="宋体" w:cs="宋体"/>
                <w:sz w:val="20"/>
                <w:szCs w:val="20"/>
              </w:rPr>
            </w:pPr>
            <w:r>
              <w:rPr>
                <w:rFonts w:hint="eastAsia" w:ascii="宋体" w:hAnsi="宋体" w:cs="宋体"/>
                <w:sz w:val="20"/>
                <w:szCs w:val="20"/>
              </w:rPr>
              <w:t>5.1</w:t>
            </w:r>
          </w:p>
        </w:tc>
        <w:tc>
          <w:tcPr>
            <w:tcW w:w="2310" w:type="dxa"/>
            <w:vAlign w:val="center"/>
          </w:tcPr>
          <w:p w14:paraId="5973EE1E">
            <w:pPr>
              <w:keepNext w:val="0"/>
              <w:keepLines w:val="0"/>
              <w:suppressLineNumbers w:val="0"/>
              <w:spacing w:before="0" w:beforeAutospacing="0" w:after="0" w:afterAutospacing="0" w:line="360" w:lineRule="auto"/>
              <w:ind w:left="0" w:right="0"/>
              <w:jc w:val="left"/>
              <w:rPr>
                <w:rFonts w:hint="default" w:ascii="宋体" w:hAnsi="宋体" w:cs="宋体"/>
                <w:sz w:val="22"/>
                <w:szCs w:val="22"/>
              </w:rPr>
            </w:pPr>
            <w:r>
              <w:rPr>
                <w:rFonts w:hint="eastAsia" w:ascii="宋体" w:hAnsi="宋体" w:cs="宋体"/>
                <w:sz w:val="22"/>
                <w:szCs w:val="22"/>
              </w:rPr>
              <w:t>开标时间和地点</w:t>
            </w:r>
          </w:p>
        </w:tc>
        <w:tc>
          <w:tcPr>
            <w:tcW w:w="6865" w:type="dxa"/>
            <w:vAlign w:val="center"/>
          </w:tcPr>
          <w:p w14:paraId="4B7E51FC">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开标时间：同投标截止时间</w:t>
            </w:r>
          </w:p>
          <w:p w14:paraId="6AFD5E6C">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开标地点：同投标文件递交地点</w:t>
            </w:r>
          </w:p>
        </w:tc>
      </w:tr>
      <w:tr w14:paraId="54B27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0049F51D">
            <w:pPr>
              <w:keepNext w:val="0"/>
              <w:keepLines w:val="0"/>
              <w:suppressLineNumbers w:val="0"/>
              <w:spacing w:before="0" w:beforeAutospacing="0" w:after="0" w:afterAutospacing="0" w:line="360" w:lineRule="auto"/>
              <w:ind w:left="0" w:right="0"/>
              <w:jc w:val="center"/>
              <w:rPr>
                <w:rFonts w:hint="default" w:ascii="宋体" w:hAnsi="宋体" w:cs="宋体"/>
                <w:sz w:val="20"/>
                <w:szCs w:val="20"/>
              </w:rPr>
            </w:pPr>
            <w:r>
              <w:rPr>
                <w:rFonts w:hint="eastAsia" w:ascii="宋体" w:hAnsi="宋体" w:cs="宋体"/>
                <w:sz w:val="20"/>
                <w:szCs w:val="20"/>
              </w:rPr>
              <w:t>6.1</w:t>
            </w:r>
          </w:p>
        </w:tc>
        <w:tc>
          <w:tcPr>
            <w:tcW w:w="2310" w:type="dxa"/>
            <w:vAlign w:val="center"/>
          </w:tcPr>
          <w:p w14:paraId="3F41AD10">
            <w:pPr>
              <w:keepNext w:val="0"/>
              <w:keepLines w:val="0"/>
              <w:suppressLineNumbers w:val="0"/>
              <w:spacing w:before="0" w:beforeAutospacing="0" w:after="0" w:afterAutospacing="0" w:line="360" w:lineRule="auto"/>
              <w:ind w:left="0" w:right="0"/>
              <w:jc w:val="left"/>
              <w:rPr>
                <w:rFonts w:hint="default" w:ascii="宋体" w:hAnsi="宋体" w:cs="宋体"/>
                <w:sz w:val="22"/>
                <w:szCs w:val="22"/>
              </w:rPr>
            </w:pPr>
            <w:r>
              <w:rPr>
                <w:rFonts w:hint="eastAsia" w:ascii="宋体" w:hAnsi="宋体" w:cs="宋体"/>
                <w:sz w:val="22"/>
                <w:szCs w:val="22"/>
              </w:rPr>
              <w:t>评标委员会的组建</w:t>
            </w:r>
          </w:p>
        </w:tc>
        <w:tc>
          <w:tcPr>
            <w:tcW w:w="6865" w:type="dxa"/>
            <w:vAlign w:val="center"/>
          </w:tcPr>
          <w:p w14:paraId="34E37F84">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评标委员会构成：</w:t>
            </w:r>
            <w:r>
              <w:rPr>
                <w:rFonts w:hint="eastAsia" w:ascii="宋体" w:hAnsi="宋体" w:cs="宋体"/>
                <w:sz w:val="22"/>
                <w:szCs w:val="22"/>
                <w:lang w:val="en-US" w:eastAsia="zh-CN"/>
              </w:rPr>
              <w:t>5</w:t>
            </w:r>
            <w:r>
              <w:rPr>
                <w:rFonts w:hint="eastAsia" w:ascii="宋体" w:hAnsi="宋体" w:cs="宋体"/>
                <w:sz w:val="22"/>
                <w:szCs w:val="22"/>
              </w:rPr>
              <w:t>人及以上单数</w:t>
            </w:r>
          </w:p>
        </w:tc>
      </w:tr>
      <w:tr w14:paraId="7945D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4854374F">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7.1</w:t>
            </w:r>
          </w:p>
        </w:tc>
        <w:tc>
          <w:tcPr>
            <w:tcW w:w="2310" w:type="dxa"/>
            <w:vAlign w:val="center"/>
          </w:tcPr>
          <w:p w14:paraId="2F95619C">
            <w:pPr>
              <w:keepNext w:val="0"/>
              <w:keepLines w:val="0"/>
              <w:suppressLineNumbers w:val="0"/>
              <w:spacing w:before="0" w:beforeAutospacing="0" w:after="0" w:afterAutospacing="0" w:line="360" w:lineRule="auto"/>
              <w:ind w:left="0" w:right="0"/>
              <w:jc w:val="left"/>
              <w:rPr>
                <w:rFonts w:hint="default" w:ascii="宋体" w:hAnsi="宋体" w:cs="宋体"/>
                <w:szCs w:val="22"/>
              </w:rPr>
            </w:pPr>
            <w:r>
              <w:rPr>
                <w:rFonts w:hint="eastAsia" w:ascii="宋体" w:hAnsi="宋体" w:cs="宋体"/>
                <w:szCs w:val="22"/>
              </w:rPr>
              <w:t>是否授权评标委员会确定中标人</w:t>
            </w:r>
          </w:p>
        </w:tc>
        <w:tc>
          <w:tcPr>
            <w:tcW w:w="6865" w:type="dxa"/>
            <w:vAlign w:val="center"/>
          </w:tcPr>
          <w:p w14:paraId="52E94941">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shd w:val="clear" w:color="auto" w:fill="000000"/>
                <w:lang w:eastAsia="zh-CN"/>
              </w:rPr>
              <w:t>☑</w:t>
            </w:r>
            <w:r>
              <w:rPr>
                <w:rFonts w:hint="eastAsia" w:ascii="宋体" w:hAnsi="宋体" w:cs="宋体"/>
                <w:szCs w:val="22"/>
              </w:rPr>
              <w:t>否，推荐</w:t>
            </w:r>
            <w:r>
              <w:rPr>
                <w:rFonts w:hint="eastAsia" w:ascii="宋体" w:hAnsi="宋体" w:cs="宋体"/>
                <w:szCs w:val="22"/>
                <w:lang w:val="en-US" w:eastAsia="zh-CN"/>
              </w:rPr>
              <w:t>入围供应商</w:t>
            </w:r>
            <w:r>
              <w:rPr>
                <w:rFonts w:hint="eastAsia" w:ascii="宋体" w:hAnsi="宋体" w:cs="宋体"/>
                <w:szCs w:val="22"/>
              </w:rPr>
              <w:t>人数：</w:t>
            </w:r>
            <w:r>
              <w:rPr>
                <w:rFonts w:hint="eastAsia" w:ascii="宋体" w:hAnsi="宋体" w:cs="宋体"/>
                <w:b/>
                <w:bCs/>
                <w:szCs w:val="22"/>
                <w:lang w:val="en-US" w:eastAsia="zh-CN"/>
              </w:rPr>
              <w:t>3</w:t>
            </w:r>
            <w:r>
              <w:rPr>
                <w:rFonts w:hint="eastAsia" w:ascii="宋体" w:hAnsi="宋体" w:cs="宋体"/>
                <w:b/>
                <w:bCs/>
                <w:szCs w:val="22"/>
              </w:rPr>
              <w:t xml:space="preserve">名；  </w:t>
            </w:r>
          </w:p>
        </w:tc>
      </w:tr>
      <w:tr w14:paraId="2A4E9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479BA045">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szCs w:val="22"/>
              </w:rPr>
              <w:t>7.2</w:t>
            </w:r>
          </w:p>
        </w:tc>
        <w:tc>
          <w:tcPr>
            <w:tcW w:w="2310" w:type="dxa"/>
            <w:vAlign w:val="center"/>
          </w:tcPr>
          <w:p w14:paraId="72679F26">
            <w:pPr>
              <w:keepNext w:val="0"/>
              <w:keepLines w:val="0"/>
              <w:suppressLineNumbers w:val="0"/>
              <w:spacing w:before="0" w:beforeAutospacing="0" w:after="0" w:afterAutospacing="0" w:line="360" w:lineRule="auto"/>
              <w:ind w:left="0" w:right="0"/>
              <w:jc w:val="left"/>
              <w:rPr>
                <w:rFonts w:hint="default" w:ascii="宋体" w:hAnsi="宋体" w:cs="宋体"/>
                <w:szCs w:val="22"/>
              </w:rPr>
            </w:pPr>
            <w:r>
              <w:rPr>
                <w:rFonts w:hint="eastAsia" w:ascii="宋体" w:hAnsi="宋体" w:cs="宋体"/>
                <w:szCs w:val="22"/>
              </w:rPr>
              <w:t>中标候选人公示媒介</w:t>
            </w:r>
          </w:p>
        </w:tc>
        <w:tc>
          <w:tcPr>
            <w:tcW w:w="6865" w:type="dxa"/>
            <w:vAlign w:val="center"/>
          </w:tcPr>
          <w:p w14:paraId="1110ADC7">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rPr>
              <w:t>发布</w:t>
            </w:r>
            <w:r>
              <w:rPr>
                <w:rFonts w:hint="eastAsia" w:ascii="宋体" w:hAnsi="宋体" w:cs="宋体"/>
                <w:szCs w:val="22"/>
                <w:lang w:val="en-US" w:eastAsia="zh-CN"/>
              </w:rPr>
              <w:t>遴选</w:t>
            </w:r>
            <w:r>
              <w:rPr>
                <w:rFonts w:hint="eastAsia" w:ascii="宋体" w:hAnsi="宋体" w:cs="宋体"/>
                <w:szCs w:val="22"/>
              </w:rPr>
              <w:t>公告的网站</w:t>
            </w:r>
          </w:p>
        </w:tc>
      </w:tr>
      <w:tr w14:paraId="51246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4" w:type="dxa"/>
            <w:vAlign w:val="center"/>
          </w:tcPr>
          <w:p w14:paraId="728A65EB">
            <w:pPr>
              <w:keepNext w:val="0"/>
              <w:keepLines w:val="0"/>
              <w:suppressLineNumbers w:val="0"/>
              <w:spacing w:before="0" w:beforeAutospacing="0" w:after="0" w:afterAutospacing="0" w:line="360" w:lineRule="auto"/>
              <w:ind w:left="0" w:right="0"/>
              <w:jc w:val="center"/>
              <w:rPr>
                <w:rFonts w:hint="default" w:ascii="宋体" w:hAnsi="宋体" w:cs="宋体"/>
                <w:szCs w:val="22"/>
              </w:rPr>
            </w:pPr>
            <w:r>
              <w:rPr>
                <w:rFonts w:hint="eastAsia" w:ascii="宋体" w:hAnsi="宋体" w:cs="宋体"/>
              </w:rPr>
              <w:t>7.3</w:t>
            </w:r>
          </w:p>
        </w:tc>
        <w:tc>
          <w:tcPr>
            <w:tcW w:w="2310" w:type="dxa"/>
            <w:vAlign w:val="center"/>
          </w:tcPr>
          <w:p w14:paraId="78CD46E9">
            <w:pPr>
              <w:keepNext w:val="0"/>
              <w:keepLines w:val="0"/>
              <w:suppressLineNumbers w:val="0"/>
              <w:spacing w:before="0" w:beforeAutospacing="0" w:after="0" w:afterAutospacing="0" w:line="360" w:lineRule="auto"/>
              <w:ind w:left="0" w:right="0"/>
              <w:jc w:val="left"/>
              <w:rPr>
                <w:rFonts w:hint="default" w:ascii="宋体" w:hAnsi="宋体" w:cs="宋体"/>
                <w:szCs w:val="22"/>
              </w:rPr>
            </w:pPr>
            <w:r>
              <w:rPr>
                <w:rFonts w:hint="eastAsia" w:ascii="宋体" w:hAnsi="宋体" w:cs="宋体"/>
              </w:rPr>
              <w:t>履约担保</w:t>
            </w:r>
          </w:p>
        </w:tc>
        <w:tc>
          <w:tcPr>
            <w:tcW w:w="6865" w:type="dxa"/>
            <w:vAlign w:val="center"/>
          </w:tcPr>
          <w:p w14:paraId="6E6A9D48">
            <w:pPr>
              <w:keepNext w:val="0"/>
              <w:keepLines w:val="0"/>
              <w:suppressLineNumbers w:val="0"/>
              <w:spacing w:before="0" w:beforeAutospacing="0" w:after="0" w:afterAutospacing="0" w:line="360" w:lineRule="auto"/>
              <w:ind w:left="0" w:right="0" w:firstLine="102" w:firstLineChars="49"/>
              <w:rPr>
                <w:rFonts w:hint="default" w:ascii="宋体" w:hAnsi="宋体" w:cs="宋体"/>
              </w:rPr>
            </w:pPr>
            <w:r>
              <w:rPr>
                <w:rFonts w:hint="eastAsia" w:ascii="宋体" w:hAnsi="宋体" w:cs="宋体"/>
              </w:rPr>
              <w:t>担保形式：</w:t>
            </w:r>
            <w:r>
              <w:rPr>
                <w:rFonts w:hint="eastAsia" w:ascii="宋体" w:hAnsi="宋体" w:cs="宋体"/>
                <w:shd w:val="clear" w:color="auto" w:fill="000000"/>
                <w:lang w:eastAsia="zh-CN"/>
              </w:rPr>
              <w:t>☑</w:t>
            </w:r>
            <w:r>
              <w:rPr>
                <w:rFonts w:hint="eastAsia" w:ascii="宋体" w:hAnsi="宋体" w:cs="宋体"/>
                <w:lang w:val="en-US" w:eastAsia="zh-CN"/>
              </w:rPr>
              <w:t>银行转账</w:t>
            </w:r>
            <w:r>
              <w:rPr>
                <w:rFonts w:hint="eastAsia" w:ascii="宋体" w:hAnsi="宋体" w:cs="宋体"/>
              </w:rPr>
              <w:t xml:space="preserve">  </w:t>
            </w:r>
          </w:p>
          <w:p w14:paraId="453A389E">
            <w:pPr>
              <w:keepNext w:val="0"/>
              <w:keepLines w:val="0"/>
              <w:suppressLineNumbers w:val="0"/>
              <w:spacing w:before="0" w:beforeAutospacing="0" w:after="0" w:afterAutospacing="0" w:line="360" w:lineRule="auto"/>
              <w:ind w:left="0" w:right="0"/>
              <w:jc w:val="left"/>
              <w:rPr>
                <w:rFonts w:hint="default" w:ascii="宋体" w:hAnsi="宋体" w:cs="宋体"/>
                <w:szCs w:val="22"/>
              </w:rPr>
            </w:pPr>
            <w:r>
              <w:rPr>
                <w:rFonts w:hint="eastAsia" w:ascii="宋体" w:hAnsi="宋体" w:cs="宋体"/>
              </w:rPr>
              <w:t xml:space="preserve"> </w:t>
            </w:r>
            <w:r>
              <w:rPr>
                <w:rFonts w:hint="eastAsia" w:ascii="宋体" w:hAnsi="宋体" w:cs="宋体"/>
                <w:color w:val="0000FF"/>
              </w:rPr>
              <w:t>担保金额：</w:t>
            </w:r>
            <w:r>
              <w:rPr>
                <w:rFonts w:hint="eastAsia" w:ascii="宋体" w:hAnsi="宋体" w:cs="宋体"/>
                <w:color w:val="0000FF"/>
                <w:szCs w:val="22"/>
                <w:lang w:val="en-US" w:eastAsia="zh-CN"/>
              </w:rPr>
              <w:t>5000</w:t>
            </w:r>
            <w:r>
              <w:rPr>
                <w:rFonts w:hint="eastAsia" w:ascii="宋体" w:hAnsi="宋体" w:cs="宋体"/>
                <w:color w:val="0000FF"/>
                <w:szCs w:val="22"/>
              </w:rPr>
              <w:t>元</w:t>
            </w:r>
            <w:r>
              <w:rPr>
                <w:rFonts w:hint="eastAsia" w:ascii="宋体" w:hAnsi="宋体" w:cs="宋体"/>
              </w:rPr>
              <w:t>,入库单位在签订合同前转至招标人指定账户，</w:t>
            </w:r>
            <w:r>
              <w:rPr>
                <w:rFonts w:hint="eastAsia" w:ascii="宋体" w:hAnsi="宋体" w:cs="宋体"/>
                <w:lang w:val="en-US" w:eastAsia="zh-CN"/>
              </w:rPr>
              <w:t>合约</w:t>
            </w:r>
            <w:r>
              <w:rPr>
                <w:rFonts w:hint="eastAsia" w:ascii="宋体" w:hAnsi="宋体" w:cs="宋体"/>
              </w:rPr>
              <w:t>期限满</w:t>
            </w:r>
            <w:r>
              <w:rPr>
                <w:rFonts w:hint="eastAsia" w:ascii="宋体" w:hAnsi="宋体" w:cs="宋体"/>
                <w:lang w:val="en-US" w:eastAsia="zh-CN"/>
              </w:rPr>
              <w:t>且双方无争议一次性</w:t>
            </w:r>
            <w:r>
              <w:rPr>
                <w:rFonts w:hint="eastAsia" w:ascii="宋体" w:hAnsi="宋体" w:cs="宋体"/>
              </w:rPr>
              <w:t>退还履约保证金。</w:t>
            </w:r>
          </w:p>
        </w:tc>
      </w:tr>
      <w:tr w14:paraId="02874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179" w:type="dxa"/>
            <w:gridSpan w:val="3"/>
            <w:vAlign w:val="center"/>
          </w:tcPr>
          <w:p w14:paraId="5F5BC6B4">
            <w:pPr>
              <w:keepNext w:val="0"/>
              <w:keepLines w:val="0"/>
              <w:suppressLineNumbers w:val="0"/>
              <w:spacing w:before="0" w:beforeAutospacing="0" w:after="0" w:afterAutospacing="0" w:line="360" w:lineRule="auto"/>
              <w:ind w:left="0" w:right="0"/>
              <w:rPr>
                <w:rFonts w:hint="eastAsia" w:ascii="宋体" w:hAnsi="宋体" w:eastAsia="宋体" w:cs="宋体"/>
                <w:color w:val="FF0000"/>
                <w:lang w:val="en-US" w:eastAsia="zh-CN"/>
              </w:rPr>
            </w:pPr>
            <w:r>
              <w:rPr>
                <w:rFonts w:hint="eastAsia" w:ascii="宋体" w:hAnsi="宋体" w:cs="宋体"/>
                <w:color w:val="FF0000"/>
                <w:szCs w:val="22"/>
              </w:rPr>
              <w:t>8</w:t>
            </w:r>
            <w:r>
              <w:rPr>
                <w:rFonts w:hint="eastAsia" w:ascii="宋体" w:hAnsi="宋体" w:cs="宋体"/>
                <w:color w:val="FF0000"/>
                <w:lang w:eastAsia="zh-CN"/>
              </w:rPr>
              <w:t>.</w:t>
            </w:r>
            <w:r>
              <w:rPr>
                <w:rFonts w:hint="eastAsia" w:ascii="宋体" w:hAnsi="宋体" w:cs="宋体"/>
                <w:color w:val="FF0000"/>
                <w:lang w:val="en-US" w:eastAsia="zh-CN"/>
              </w:rPr>
              <w:t>报价</w:t>
            </w:r>
          </w:p>
          <w:p w14:paraId="5C1C1DA9">
            <w:pPr>
              <w:keepNext w:val="0"/>
              <w:keepLines w:val="0"/>
              <w:suppressLineNumbers w:val="0"/>
              <w:spacing w:before="0" w:beforeAutospacing="0" w:after="0" w:afterAutospacing="0" w:line="360" w:lineRule="auto"/>
              <w:ind w:left="0" w:right="0"/>
              <w:rPr>
                <w:rFonts w:hint="eastAsia" w:ascii="宋体" w:hAnsi="宋体" w:cs="宋体"/>
                <w:color w:val="auto"/>
              </w:rPr>
            </w:pPr>
            <w:r>
              <w:rPr>
                <w:rFonts w:hint="eastAsia" w:ascii="宋体" w:hAnsi="宋体" w:cs="宋体"/>
                <w:color w:val="auto"/>
                <w:lang w:val="en-US" w:eastAsia="zh-CN"/>
              </w:rPr>
              <w:t>8.1最高限制价：297792.8元（含税）。</w:t>
            </w:r>
          </w:p>
          <w:p w14:paraId="6D8FFA63">
            <w:pPr>
              <w:keepNext w:val="0"/>
              <w:keepLines w:val="0"/>
              <w:suppressLineNumbers w:val="0"/>
              <w:spacing w:before="0" w:beforeAutospacing="0" w:after="0" w:afterAutospacing="0" w:line="360" w:lineRule="auto"/>
              <w:ind w:left="0" w:right="0"/>
              <w:rPr>
                <w:rFonts w:hint="default" w:ascii="宋体" w:hAnsi="宋体" w:eastAsia="宋体" w:cs="宋体"/>
                <w:color w:val="FF0000"/>
                <w:lang w:val="en-US" w:eastAsia="zh-CN"/>
              </w:rPr>
            </w:pPr>
            <w:r>
              <w:rPr>
                <w:rFonts w:hint="eastAsia" w:ascii="宋体" w:hAnsi="宋体" w:cs="宋体"/>
                <w:color w:val="auto"/>
                <w:lang w:val="en-US" w:eastAsia="zh-CN"/>
              </w:rPr>
              <w:t>8.2</w:t>
            </w:r>
            <w:r>
              <w:rPr>
                <w:rFonts w:hint="eastAsia" w:ascii="宋体" w:hAnsi="宋体" w:cs="宋体"/>
                <w:color w:val="auto"/>
              </w:rPr>
              <w:t>报价包含：报价应包含完成阜阳市三区五县全域</w:t>
            </w:r>
            <w:r>
              <w:rPr>
                <w:rFonts w:hint="eastAsia" w:ascii="宋体" w:hAnsi="宋体" w:cs="宋体"/>
                <w:color w:val="auto"/>
                <w:lang w:val="en-US" w:eastAsia="zh-CN"/>
              </w:rPr>
              <w:t>采购人</w:t>
            </w:r>
            <w:r>
              <w:rPr>
                <w:rFonts w:hint="eastAsia" w:ascii="宋体" w:hAnsi="宋体" w:cs="宋体"/>
                <w:color w:val="auto"/>
              </w:rPr>
              <w:t>所有“阜充电”运营充电场站</w:t>
            </w:r>
            <w:r>
              <w:rPr>
                <w:rFonts w:hint="eastAsia" w:ascii="宋体" w:hAnsi="宋体" w:cs="宋体"/>
                <w:color w:val="auto"/>
                <w:lang w:eastAsia="zh-CN"/>
              </w:rPr>
              <w:t>、</w:t>
            </w:r>
            <w:r>
              <w:rPr>
                <w:rFonts w:hint="eastAsia" w:ascii="宋体" w:hAnsi="宋体" w:cs="宋体"/>
                <w:color w:val="auto"/>
              </w:rPr>
              <w:t>直流/交流充电桩质保期外维修、故障抢修及技术支持所需的人工、配件材料、机械仪器、交通差旅、7×24小时应急响应、安全文明、管理利润税金、风险及质保返修等全部费用，采购人不再另行支付任何费用。</w:t>
            </w:r>
          </w:p>
          <w:p w14:paraId="16F05F67">
            <w:pPr>
              <w:keepNext w:val="0"/>
              <w:keepLines w:val="0"/>
              <w:suppressLineNumbers w:val="0"/>
              <w:spacing w:before="0" w:beforeAutospacing="0" w:after="0" w:afterAutospacing="0" w:line="360" w:lineRule="auto"/>
              <w:ind w:left="0" w:right="0"/>
              <w:rPr>
                <w:rFonts w:hint="eastAsia" w:ascii="宋体" w:hAnsi="宋体" w:cs="宋体"/>
                <w:color w:val="FF0000"/>
                <w:lang w:eastAsia="zh-CN"/>
              </w:rPr>
            </w:pPr>
            <w:r>
              <w:rPr>
                <w:rFonts w:hint="eastAsia" w:ascii="宋体" w:hAnsi="宋体" w:cs="宋体"/>
                <w:color w:val="FF0000"/>
                <w:lang w:val="en-US" w:eastAsia="zh-CN"/>
              </w:rPr>
              <w:t>8.3报价方式：投标人须按投标文件格式填报总项报价及分项报价，价格分以总项报价为评审依据，投标总价不得超过最高限制总价，各分项报价不得超过最高限制单价，超过任一最高限制的，作无效投标处理。中标后，合同价款按实际完成并验收合格的服务/维修工作量乘以入库协议单价据实结算，总项报价仅用于评标，不作为最终结算依据。</w:t>
            </w:r>
            <w:r>
              <w:rPr>
                <w:rFonts w:hint="eastAsia" w:ascii="宋体" w:hAnsi="宋体" w:cs="宋体"/>
                <w:color w:val="FF0000"/>
              </w:rPr>
              <w:t>合同期内不调</w:t>
            </w:r>
            <w:r>
              <w:rPr>
                <w:rFonts w:hint="eastAsia" w:ascii="宋体" w:hAnsi="宋体" w:cs="宋体"/>
                <w:color w:val="FF0000"/>
                <w:lang w:val="en-US" w:eastAsia="zh-CN"/>
              </w:rPr>
              <w:t>价</w:t>
            </w:r>
            <w:r>
              <w:rPr>
                <w:rFonts w:hint="eastAsia" w:ascii="宋体" w:hAnsi="宋体" w:cs="宋体"/>
                <w:color w:val="FF0000"/>
              </w:rPr>
              <w:t>，不因市场波动、工程量变化而调价。</w:t>
            </w:r>
            <w:r>
              <w:rPr>
                <w:rFonts w:hint="eastAsia" w:ascii="宋体" w:hAnsi="宋体" w:cs="宋体"/>
                <w:color w:val="FF0000"/>
                <w:lang w:val="en-US" w:eastAsia="zh-CN"/>
              </w:rPr>
              <w:t>报价为含税报价，</w:t>
            </w:r>
            <w:r>
              <w:rPr>
                <w:rFonts w:hint="eastAsia" w:ascii="宋体" w:hAnsi="宋体" w:cs="宋体"/>
                <w:color w:val="FF0000"/>
              </w:rPr>
              <w:t>投标人</w:t>
            </w:r>
            <w:r>
              <w:rPr>
                <w:rFonts w:hint="eastAsia" w:ascii="宋体" w:hAnsi="宋体" w:cs="宋体"/>
                <w:color w:val="FF0000"/>
                <w:lang w:val="en-US" w:eastAsia="zh-CN"/>
              </w:rPr>
              <w:t>需</w:t>
            </w:r>
            <w:r>
              <w:rPr>
                <w:rFonts w:hint="eastAsia" w:ascii="宋体" w:hAnsi="宋体" w:cs="宋体"/>
                <w:color w:val="FF0000"/>
              </w:rPr>
              <w:t>综合考虑税费</w:t>
            </w:r>
            <w:r>
              <w:rPr>
                <w:rFonts w:hint="eastAsia" w:ascii="宋体" w:hAnsi="宋体" w:cs="宋体"/>
                <w:color w:val="FF0000"/>
                <w:lang w:eastAsia="zh-CN"/>
              </w:rPr>
              <w:t>（税率为6%）</w:t>
            </w:r>
            <w:r>
              <w:rPr>
                <w:rFonts w:hint="eastAsia" w:ascii="宋体" w:hAnsi="宋体" w:cs="宋体"/>
                <w:color w:val="FF0000"/>
              </w:rPr>
              <w:t>、成本、利润后自主填报</w:t>
            </w:r>
            <w:r>
              <w:rPr>
                <w:rFonts w:hint="eastAsia" w:ascii="宋体" w:hAnsi="宋体" w:cs="宋体"/>
                <w:color w:val="FF0000"/>
                <w:lang w:eastAsia="zh-CN"/>
              </w:rPr>
              <w:t>，</w:t>
            </w:r>
            <w:r>
              <w:rPr>
                <w:rFonts w:hint="eastAsia" w:ascii="宋体" w:hAnsi="宋体" w:cs="宋体"/>
                <w:color w:val="FF0000"/>
                <w:lang w:val="en-US" w:eastAsia="zh-CN"/>
              </w:rPr>
              <w:t>报价</w:t>
            </w:r>
            <w:r>
              <w:rPr>
                <w:rFonts w:hint="eastAsia" w:ascii="宋体" w:hAnsi="宋体" w:cs="宋体"/>
                <w:color w:val="FF0000"/>
              </w:rPr>
              <w:t>保留 2 位小数</w:t>
            </w:r>
            <w:r>
              <w:rPr>
                <w:rFonts w:hint="eastAsia" w:ascii="宋体" w:hAnsi="宋体" w:cs="宋体"/>
                <w:color w:val="FF0000"/>
                <w:lang w:eastAsia="zh-CN"/>
              </w:rPr>
              <w:t>。</w:t>
            </w:r>
          </w:p>
          <w:p w14:paraId="7D75894E">
            <w:pPr>
              <w:keepNext w:val="0"/>
              <w:keepLines w:val="0"/>
              <w:suppressLineNumbers w:val="0"/>
              <w:spacing w:before="0" w:beforeAutospacing="0" w:after="0" w:afterAutospacing="0" w:line="360" w:lineRule="auto"/>
              <w:ind w:left="0" w:right="0"/>
              <w:rPr>
                <w:rFonts w:hint="eastAsia" w:ascii="宋体" w:hAnsi="宋体" w:cs="宋体"/>
                <w:color w:val="auto"/>
                <w:lang w:val="en-US" w:eastAsia="zh-CN"/>
              </w:rPr>
            </w:pPr>
            <w:r>
              <w:rPr>
                <w:rFonts w:hint="eastAsia" w:ascii="宋体" w:hAnsi="宋体" w:cs="宋体"/>
                <w:color w:val="auto"/>
                <w:lang w:val="en-US" w:eastAsia="zh-CN"/>
              </w:rPr>
              <w:t>8.4项目资金说明</w:t>
            </w:r>
          </w:p>
          <w:p w14:paraId="35127BC8">
            <w:pPr>
              <w:keepNext w:val="0"/>
              <w:keepLines w:val="0"/>
              <w:suppressLineNumbers w:val="0"/>
              <w:spacing w:before="0" w:beforeAutospacing="0" w:after="0" w:afterAutospacing="0" w:line="360" w:lineRule="auto"/>
              <w:ind w:left="0" w:right="0"/>
              <w:rPr>
                <w:rFonts w:hint="default" w:ascii="宋体" w:hAnsi="宋体" w:cs="宋体"/>
                <w:lang w:val="en-US" w:eastAsia="zh-CN"/>
              </w:rPr>
            </w:pPr>
            <w:r>
              <w:rPr>
                <w:rFonts w:hint="eastAsia" w:ascii="宋体" w:hAnsi="宋体" w:cs="宋体"/>
                <w:color w:val="auto"/>
                <w:lang w:val="en-US" w:eastAsia="zh-CN"/>
              </w:rPr>
              <w:t>本项目因具体工程量暂无法确定，在合同周期内，业主累计投入资金总额预计约为30万元。最终结算以实际完成的合格工程量为准，投标人应据此合理报价，并自行承担工程量变化的风险。</w:t>
            </w:r>
          </w:p>
        </w:tc>
      </w:tr>
      <w:tr w14:paraId="428C7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179" w:type="dxa"/>
            <w:gridSpan w:val="3"/>
            <w:vAlign w:val="center"/>
          </w:tcPr>
          <w:p w14:paraId="788BFEA3">
            <w:pPr>
              <w:keepNext w:val="0"/>
              <w:keepLines w:val="0"/>
              <w:suppressLineNumbers w:val="0"/>
              <w:spacing w:before="0" w:beforeAutospacing="0" w:after="0" w:afterAutospacing="0" w:line="360" w:lineRule="auto"/>
              <w:ind w:left="0" w:right="0"/>
              <w:rPr>
                <w:rFonts w:hint="default" w:ascii="宋体" w:hAnsi="宋体" w:cs="宋体"/>
                <w:color w:val="FF0000"/>
              </w:rPr>
            </w:pPr>
            <w:r>
              <w:rPr>
                <w:rFonts w:hint="eastAsia" w:ascii="宋体" w:hAnsi="宋体" w:cs="宋体"/>
                <w:color w:val="FF0000"/>
              </w:rPr>
              <w:t>9</w:t>
            </w:r>
            <w:r>
              <w:rPr>
                <w:rFonts w:hint="eastAsia" w:ascii="宋体" w:hAnsi="宋体" w:cs="宋体"/>
                <w:color w:val="FF0000"/>
                <w:lang w:eastAsia="zh-CN"/>
              </w:rPr>
              <w:t>.</w:t>
            </w:r>
            <w:r>
              <w:rPr>
                <w:rFonts w:hint="eastAsia" w:ascii="宋体" w:hAnsi="宋体" w:cs="宋体"/>
                <w:color w:val="FF0000"/>
              </w:rPr>
              <w:t>入库协议价格的确定：</w:t>
            </w:r>
          </w:p>
          <w:p w14:paraId="63F20863">
            <w:pPr>
              <w:keepNext w:val="0"/>
              <w:keepLines w:val="0"/>
              <w:suppressLineNumbers w:val="0"/>
              <w:spacing w:before="0" w:beforeAutospacing="0" w:after="0" w:afterAutospacing="0" w:line="360" w:lineRule="auto"/>
              <w:ind w:left="0" w:right="0"/>
              <w:rPr>
                <w:rFonts w:hint="eastAsia"/>
                <w:color w:val="FF0000"/>
              </w:rPr>
            </w:pPr>
            <w:r>
              <w:rPr>
                <w:rFonts w:hint="eastAsia"/>
                <w:color w:val="FF0000"/>
                <w:lang w:val="en-US" w:eastAsia="zh-CN"/>
              </w:rPr>
              <w:t>9.1</w:t>
            </w:r>
            <w:r>
              <w:rPr>
                <w:rFonts w:hint="eastAsia"/>
                <w:color w:val="FF0000"/>
              </w:rPr>
              <w:t>价格确定原则</w:t>
            </w:r>
          </w:p>
          <w:p w14:paraId="72436200">
            <w:pPr>
              <w:keepNext w:val="0"/>
              <w:keepLines w:val="0"/>
              <w:suppressLineNumbers w:val="0"/>
              <w:spacing w:before="0" w:beforeAutospacing="0" w:after="0" w:afterAutospacing="0" w:line="360" w:lineRule="auto"/>
              <w:ind w:left="0" w:right="0"/>
              <w:rPr>
                <w:rFonts w:hint="eastAsia"/>
                <w:color w:val="FF0000"/>
                <w:lang w:val="en-US" w:eastAsia="zh-CN"/>
              </w:rPr>
            </w:pPr>
            <w:r>
              <w:rPr>
                <w:rFonts w:hint="eastAsia"/>
                <w:color w:val="FF0000"/>
              </w:rPr>
              <w:t>评标委员会按综合评分由高到低确定3家入库供应商；</w:t>
            </w:r>
            <w:r>
              <w:rPr>
                <w:rFonts w:hint="eastAsia"/>
                <w:color w:val="FF0000"/>
                <w:lang w:val="en-US" w:eastAsia="zh-CN"/>
              </w:rPr>
              <w:t>全库统一协议单价</w:t>
            </w:r>
            <w:r>
              <w:rPr>
                <w:rFonts w:hint="eastAsia"/>
                <w:color w:val="FF0000"/>
              </w:rPr>
              <w:t>按3家入库供应商有效单项报价的算术平均值确定，保留两位小数，全库统一执行。</w:t>
            </w:r>
            <w:r>
              <w:rPr>
                <w:rFonts w:hint="eastAsia"/>
                <w:color w:val="FF0000"/>
                <w:lang w:val="en-US" w:eastAsia="zh-CN"/>
              </w:rPr>
              <w:t xml:space="preserve">若入库供应商为小规模纳税人，则小规模纳税人入库协议单价为=全库统一协议单价/1.06 </w:t>
            </w:r>
            <w:r>
              <w:rPr>
                <w:rFonts w:hint="default" w:ascii="Arial" w:hAnsi="Arial" w:cs="Arial"/>
                <w:color w:val="FF0000"/>
                <w:lang w:val="en-US" w:eastAsia="zh-CN"/>
              </w:rPr>
              <w:t>×</w:t>
            </w:r>
            <w:r>
              <w:rPr>
                <w:rFonts w:hint="eastAsia"/>
                <w:color w:val="FF0000"/>
                <w:lang w:val="en-US" w:eastAsia="zh-CN"/>
              </w:rPr>
              <w:t>（1+实际税率）</w:t>
            </w:r>
          </w:p>
          <w:p w14:paraId="4A8B8247">
            <w:pPr>
              <w:keepNext w:val="0"/>
              <w:keepLines w:val="0"/>
              <w:suppressLineNumbers w:val="0"/>
              <w:spacing w:before="0" w:beforeAutospacing="0" w:after="0" w:afterAutospacing="0" w:line="360" w:lineRule="auto"/>
              <w:ind w:left="0" w:right="0"/>
              <w:rPr>
                <w:rFonts w:hint="default"/>
                <w:color w:val="FF0000"/>
                <w:lang w:val="en-US" w:eastAsia="zh-CN"/>
              </w:rPr>
            </w:pPr>
            <w:r>
              <w:rPr>
                <w:rFonts w:hint="default"/>
                <w:color w:val="FF0000"/>
                <w:lang w:val="en-US" w:eastAsia="zh-CN"/>
              </w:rPr>
              <w:t>入库供应商须开具合规增值税专用发票。因入库供应商不能开具专票导致采购人无法抵扣的，相应损失由</w:t>
            </w:r>
            <w:r>
              <w:rPr>
                <w:rFonts w:hint="eastAsia"/>
                <w:color w:val="FF0000"/>
                <w:lang w:val="en-US" w:eastAsia="zh-CN"/>
              </w:rPr>
              <w:t>该</w:t>
            </w:r>
            <w:r>
              <w:rPr>
                <w:rFonts w:hint="default"/>
                <w:color w:val="FF0000"/>
                <w:lang w:val="en-US" w:eastAsia="zh-CN"/>
              </w:rPr>
              <w:t>入库供应商承担。</w:t>
            </w:r>
          </w:p>
          <w:p w14:paraId="15E0B681">
            <w:pPr>
              <w:keepNext w:val="0"/>
              <w:keepLines w:val="0"/>
              <w:suppressLineNumbers w:val="0"/>
              <w:spacing w:before="0" w:beforeAutospacing="0" w:after="0" w:afterAutospacing="0" w:line="360" w:lineRule="auto"/>
              <w:ind w:left="0" w:right="0"/>
              <w:rPr>
                <w:rFonts w:hint="eastAsia"/>
                <w:color w:val="auto"/>
              </w:rPr>
            </w:pPr>
            <w:r>
              <w:rPr>
                <w:rFonts w:hint="eastAsia"/>
                <w:color w:val="auto"/>
                <w:lang w:val="en-US" w:eastAsia="zh-CN"/>
              </w:rPr>
              <w:t>9.2</w:t>
            </w:r>
            <w:r>
              <w:rPr>
                <w:rFonts w:hint="eastAsia"/>
                <w:color w:val="auto"/>
              </w:rPr>
              <w:t xml:space="preserve"> 结算依据</w:t>
            </w:r>
          </w:p>
          <w:p w14:paraId="600B1729">
            <w:pPr>
              <w:keepNext w:val="0"/>
              <w:keepLines w:val="0"/>
              <w:suppressLineNumbers w:val="0"/>
              <w:spacing w:before="0" w:beforeAutospacing="0" w:after="0" w:afterAutospacing="0" w:line="360" w:lineRule="auto"/>
              <w:ind w:left="0" w:right="0"/>
              <w:rPr>
                <w:rFonts w:hint="eastAsia"/>
                <w:color w:val="auto"/>
              </w:rPr>
            </w:pPr>
            <w:r>
              <w:rPr>
                <w:rFonts w:hint="eastAsia"/>
                <w:color w:val="auto"/>
              </w:rPr>
              <w:t xml:space="preserve">实际结算金额 = </w:t>
            </w:r>
            <w:r>
              <w:rPr>
                <w:rFonts w:hint="eastAsia"/>
                <w:color w:val="auto"/>
                <w:lang w:val="en-US" w:eastAsia="zh-CN"/>
              </w:rPr>
              <w:t>全库统一协议单价</w:t>
            </w:r>
            <w:r>
              <w:rPr>
                <w:rFonts w:hint="eastAsia"/>
                <w:color w:val="auto"/>
              </w:rPr>
              <w:t>×采购人验收合格的实际工程量。</w:t>
            </w:r>
          </w:p>
          <w:p w14:paraId="01B4256A">
            <w:pPr>
              <w:keepNext w:val="0"/>
              <w:keepLines w:val="0"/>
              <w:suppressLineNumbers w:val="0"/>
              <w:spacing w:before="0" w:beforeAutospacing="0" w:after="0" w:afterAutospacing="0" w:line="360" w:lineRule="auto"/>
              <w:ind w:left="0" w:right="0"/>
              <w:rPr>
                <w:rFonts w:hint="eastAsia"/>
                <w:color w:val="auto"/>
                <w:lang w:eastAsia="zh-CN"/>
              </w:rPr>
            </w:pPr>
            <w:r>
              <w:rPr>
                <w:rFonts w:hint="eastAsia"/>
                <w:color w:val="auto"/>
                <w:lang w:eastAsia="zh-CN"/>
              </w:rPr>
              <w:t>小规模纳税人实际结算金额=入库协议单价×采购人验收合格的实际工程量。</w:t>
            </w:r>
          </w:p>
        </w:tc>
      </w:tr>
      <w:tr w14:paraId="51D1D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179" w:type="dxa"/>
            <w:gridSpan w:val="3"/>
            <w:vAlign w:val="center"/>
          </w:tcPr>
          <w:p w14:paraId="2FA03B15">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rPr>
              <w:t>10</w:t>
            </w:r>
            <w:r>
              <w:rPr>
                <w:rFonts w:hint="eastAsia" w:ascii="宋体" w:hAnsi="宋体" w:cs="宋体"/>
                <w:szCs w:val="22"/>
                <w:lang w:eastAsia="zh-CN"/>
              </w:rPr>
              <w:t>.遴选文件</w:t>
            </w:r>
            <w:r>
              <w:rPr>
                <w:rFonts w:hint="eastAsia" w:ascii="宋体" w:hAnsi="宋体" w:cs="宋体"/>
                <w:szCs w:val="22"/>
              </w:rPr>
              <w:t>解释权</w:t>
            </w:r>
          </w:p>
        </w:tc>
      </w:tr>
      <w:tr w14:paraId="4EBD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179" w:type="dxa"/>
            <w:gridSpan w:val="3"/>
            <w:vAlign w:val="center"/>
          </w:tcPr>
          <w:p w14:paraId="2F95A656">
            <w:pPr>
              <w:keepNext w:val="0"/>
              <w:keepLines w:val="0"/>
              <w:suppressLineNumbers w:val="0"/>
              <w:spacing w:before="0" w:beforeAutospacing="0" w:after="0" w:afterAutospacing="0" w:line="360" w:lineRule="auto"/>
              <w:ind w:left="0" w:right="0"/>
              <w:rPr>
                <w:rFonts w:hint="default" w:ascii="宋体" w:hAnsi="宋体" w:cs="宋体"/>
                <w:szCs w:val="22"/>
              </w:rPr>
            </w:pPr>
            <w:r>
              <w:rPr>
                <w:rFonts w:hint="eastAsia" w:ascii="宋体" w:hAnsi="宋体" w:cs="宋体"/>
                <w:szCs w:val="22"/>
              </w:rPr>
              <w:t>构成本</w:t>
            </w:r>
            <w:r>
              <w:rPr>
                <w:rFonts w:hint="eastAsia" w:ascii="宋体" w:hAnsi="宋体" w:cs="宋体"/>
                <w:szCs w:val="22"/>
                <w:lang w:eastAsia="zh-CN"/>
              </w:rPr>
              <w:t>遴选文件</w:t>
            </w:r>
            <w:r>
              <w:rPr>
                <w:rFonts w:hint="eastAsia" w:ascii="宋体" w:hAnsi="宋体" w:cs="宋体"/>
                <w:szCs w:val="22"/>
              </w:rPr>
              <w:t>的各个组成文件应互为解释，互为说明；如有不明确或不一致，构成合同文件组成内容，以合同文件约定内容为准，且以专用合同条款约定的合同文件优先顺序解释；除</w:t>
            </w:r>
            <w:r>
              <w:rPr>
                <w:rFonts w:hint="eastAsia" w:ascii="宋体" w:hAnsi="宋体" w:cs="宋体"/>
                <w:szCs w:val="22"/>
                <w:lang w:eastAsia="zh-CN"/>
              </w:rPr>
              <w:t>遴选文件</w:t>
            </w:r>
            <w:r>
              <w:rPr>
                <w:rFonts w:hint="eastAsia" w:ascii="宋体" w:hAnsi="宋体" w:cs="宋体"/>
                <w:szCs w:val="22"/>
              </w:rPr>
              <w:t>中有特别规定外，仅适用于招标投标阶段的规定，按</w:t>
            </w:r>
            <w:r>
              <w:rPr>
                <w:rFonts w:hint="eastAsia" w:ascii="宋体" w:hAnsi="宋体" w:cs="宋体"/>
                <w:szCs w:val="22"/>
                <w:lang w:val="en-US" w:eastAsia="zh-CN"/>
              </w:rPr>
              <w:t>遴选</w:t>
            </w:r>
            <w:r>
              <w:rPr>
                <w:rFonts w:hint="eastAsia" w:ascii="宋体" w:hAnsi="宋体" w:cs="宋体"/>
                <w:szCs w:val="22"/>
              </w:rPr>
              <w:t>公告、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14:paraId="4A337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179" w:type="dxa"/>
            <w:gridSpan w:val="3"/>
            <w:vAlign w:val="center"/>
          </w:tcPr>
          <w:p w14:paraId="7B796EEE">
            <w:pPr>
              <w:keepNext w:val="0"/>
              <w:keepLines w:val="0"/>
              <w:suppressLineNumbers w:val="0"/>
              <w:spacing w:before="0" w:beforeAutospacing="0" w:after="0" w:afterAutospacing="0" w:line="360" w:lineRule="auto"/>
              <w:ind w:left="0" w:right="0"/>
              <w:rPr>
                <w:rFonts w:hint="default" w:ascii="宋体" w:hAnsi="宋体" w:cs="宋体"/>
                <w:kern w:val="0"/>
                <w:szCs w:val="22"/>
              </w:rPr>
            </w:pPr>
            <w:r>
              <w:rPr>
                <w:rFonts w:hint="eastAsia" w:ascii="宋体" w:hAnsi="宋体" w:cs="宋体"/>
                <w:szCs w:val="22"/>
              </w:rPr>
              <w:t>1</w:t>
            </w:r>
            <w:r>
              <w:rPr>
                <w:rFonts w:hint="eastAsia" w:ascii="宋体" w:hAnsi="宋体" w:cs="宋体"/>
                <w:szCs w:val="22"/>
                <w:lang w:val="en-US" w:eastAsia="zh-CN"/>
              </w:rPr>
              <w:t>1.</w:t>
            </w:r>
            <w:r>
              <w:rPr>
                <w:rFonts w:hint="eastAsia" w:ascii="宋体" w:hAnsi="宋体" w:cs="宋体"/>
                <w:szCs w:val="22"/>
              </w:rPr>
              <w:t>其他注意事项</w:t>
            </w:r>
          </w:p>
        </w:tc>
      </w:tr>
      <w:tr w14:paraId="6F9CA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179" w:type="dxa"/>
            <w:gridSpan w:val="3"/>
            <w:vAlign w:val="center"/>
          </w:tcPr>
          <w:p w14:paraId="406A0519">
            <w:pPr>
              <w:keepNext w:val="0"/>
              <w:keepLines w:val="0"/>
              <w:numPr>
                <w:ilvl w:val="0"/>
                <w:numId w:val="1"/>
              </w:numPr>
              <w:suppressLineNumbers w:val="0"/>
              <w:spacing w:before="0" w:beforeAutospacing="0" w:after="0" w:afterAutospacing="0" w:line="360" w:lineRule="auto"/>
              <w:ind w:left="0" w:right="0"/>
              <w:rPr>
                <w:rFonts w:hint="eastAsia" w:ascii="宋体" w:hAnsi="宋体" w:cs="宋体"/>
                <w:szCs w:val="22"/>
              </w:rPr>
            </w:pPr>
            <w:r>
              <w:rPr>
                <w:rFonts w:hint="eastAsia" w:ascii="宋体" w:hAnsi="宋体" w:cs="宋体"/>
                <w:szCs w:val="22"/>
              </w:rPr>
              <w:t>招标人有权在中标通知书发放前对所有中标候选人投标文件中相关证书及证明文件的原件进行查验，中标候选人应按时提供，若有弄虚作假或原件提供不全的，招标人有权取消其中标资格。</w:t>
            </w:r>
          </w:p>
          <w:p w14:paraId="5F0E860B">
            <w:pPr>
              <w:keepNext w:val="0"/>
              <w:keepLines w:val="0"/>
              <w:numPr>
                <w:ilvl w:val="0"/>
                <w:numId w:val="1"/>
              </w:numPr>
              <w:suppressLineNumbers w:val="0"/>
              <w:spacing w:before="0" w:beforeAutospacing="0" w:after="0" w:afterAutospacing="0" w:line="360" w:lineRule="auto"/>
              <w:ind w:left="0" w:right="0"/>
              <w:rPr>
                <w:rFonts w:hint="default" w:ascii="宋体" w:hAnsi="宋体" w:cs="宋体"/>
                <w:szCs w:val="22"/>
              </w:rPr>
            </w:pPr>
            <w:r>
              <w:rPr>
                <w:rFonts w:hint="default" w:ascii="宋体" w:hAnsi="宋体" w:cs="宋体"/>
                <w:szCs w:val="22"/>
              </w:rPr>
              <w:t>对于清单以外、新增规格、新增类型或工艺复杂的</w:t>
            </w:r>
            <w:r>
              <w:rPr>
                <w:rFonts w:hint="eastAsia" w:ascii="宋体" w:hAnsi="宋体" w:cs="宋体"/>
                <w:szCs w:val="22"/>
                <w:lang w:val="en-US" w:eastAsia="zh-CN"/>
              </w:rPr>
              <w:t>维修清单项</w:t>
            </w:r>
            <w:r>
              <w:rPr>
                <w:rFonts w:hint="default" w:ascii="宋体" w:hAnsi="宋体" w:cs="宋体"/>
                <w:szCs w:val="22"/>
              </w:rPr>
              <w:t>，由采购人发出书面需求后，入库供应商应在24小时内进行二次报价，采购人根据报价合理性、响应效率等综合确定实施单位及最终单价，双方书面确认后作为结算依据。</w:t>
            </w:r>
          </w:p>
          <w:p w14:paraId="2A90498B">
            <w:pPr>
              <w:keepNext w:val="0"/>
              <w:keepLines w:val="0"/>
              <w:numPr>
                <w:ilvl w:val="0"/>
                <w:numId w:val="1"/>
              </w:numPr>
              <w:suppressLineNumbers w:val="0"/>
              <w:spacing w:before="0" w:beforeAutospacing="0" w:after="0" w:afterAutospacing="0" w:line="360" w:lineRule="auto"/>
              <w:ind w:left="0" w:right="0"/>
              <w:rPr>
                <w:rFonts w:hint="default" w:ascii="宋体" w:hAnsi="宋体" w:cs="宋体"/>
                <w:szCs w:val="22"/>
              </w:rPr>
            </w:pPr>
            <w:r>
              <w:rPr>
                <w:rFonts w:hint="default" w:ascii="宋体" w:hAnsi="宋体" w:cs="宋体"/>
                <w:szCs w:val="22"/>
              </w:rPr>
              <w:t>（1）若通过资格审查和符合性审查的有效投标人为</w:t>
            </w:r>
            <w:r>
              <w:rPr>
                <w:rFonts w:hint="eastAsia" w:ascii="宋体" w:hAnsi="宋体" w:cs="宋体"/>
                <w:szCs w:val="22"/>
                <w:lang w:val="en-US" w:eastAsia="zh-CN"/>
              </w:rPr>
              <w:t>3</w:t>
            </w:r>
            <w:r>
              <w:rPr>
                <w:rFonts w:hint="default" w:ascii="宋体" w:hAnsi="宋体" w:cs="宋体"/>
                <w:szCs w:val="22"/>
              </w:rPr>
              <w:t>家，采购人按综合评分由高到低确定</w:t>
            </w:r>
            <w:r>
              <w:rPr>
                <w:rFonts w:hint="eastAsia" w:ascii="宋体" w:hAnsi="宋体" w:cs="宋体"/>
                <w:szCs w:val="22"/>
                <w:lang w:val="en-US" w:eastAsia="zh-CN"/>
              </w:rPr>
              <w:t>2</w:t>
            </w:r>
            <w:r>
              <w:rPr>
                <w:rFonts w:hint="default" w:ascii="宋体" w:hAnsi="宋体" w:cs="宋体"/>
                <w:szCs w:val="22"/>
              </w:rPr>
              <w:t>家入库供应商；不再要求必须</w:t>
            </w:r>
            <w:r>
              <w:rPr>
                <w:rFonts w:hint="eastAsia" w:ascii="宋体" w:hAnsi="宋体" w:cs="宋体"/>
                <w:szCs w:val="22"/>
                <w:lang w:val="en-US" w:eastAsia="zh-CN"/>
              </w:rPr>
              <w:t>入库</w:t>
            </w:r>
            <w:r>
              <w:rPr>
                <w:rFonts w:hint="default" w:ascii="宋体" w:hAnsi="宋体" w:cs="宋体"/>
                <w:szCs w:val="22"/>
              </w:rPr>
              <w:t xml:space="preserve"> 3 家。全库统一协议单价按2家入库供应商报价算术平均</w:t>
            </w:r>
            <w:r>
              <w:rPr>
                <w:rFonts w:hint="eastAsia" w:ascii="宋体" w:hAnsi="宋体" w:cs="宋体"/>
                <w:szCs w:val="22"/>
                <w:lang w:eastAsia="zh-CN"/>
              </w:rPr>
              <w:t>。</w:t>
            </w:r>
          </w:p>
          <w:p w14:paraId="44C04BA4">
            <w:pPr>
              <w:keepNext w:val="0"/>
              <w:keepLines w:val="0"/>
              <w:numPr>
                <w:ilvl w:val="0"/>
                <w:numId w:val="0"/>
              </w:numPr>
              <w:suppressLineNumbers w:val="0"/>
              <w:spacing w:before="0" w:beforeAutospacing="0" w:after="0" w:afterAutospacing="0" w:line="360" w:lineRule="auto"/>
              <w:ind w:left="0" w:right="0" w:rightChars="0"/>
              <w:rPr>
                <w:rFonts w:hint="default" w:ascii="宋体" w:hAnsi="宋体" w:cs="宋体"/>
                <w:szCs w:val="22"/>
              </w:rPr>
            </w:pPr>
            <w:r>
              <w:rPr>
                <w:rFonts w:hint="eastAsia" w:ascii="宋体" w:hAnsi="宋体" w:cs="宋体"/>
                <w:szCs w:val="22"/>
                <w:lang w:eastAsia="zh-CN"/>
              </w:rPr>
              <w:t>（</w:t>
            </w:r>
            <w:r>
              <w:rPr>
                <w:rFonts w:hint="eastAsia" w:ascii="宋体" w:hAnsi="宋体" w:cs="宋体"/>
                <w:szCs w:val="22"/>
                <w:lang w:val="en-US" w:eastAsia="zh-CN"/>
              </w:rPr>
              <w:t>2</w:t>
            </w:r>
            <w:r>
              <w:rPr>
                <w:rFonts w:hint="eastAsia" w:ascii="宋体" w:hAnsi="宋体" w:cs="宋体"/>
                <w:szCs w:val="22"/>
                <w:lang w:eastAsia="zh-CN"/>
              </w:rPr>
              <w:t>）</w:t>
            </w:r>
            <w:r>
              <w:rPr>
                <w:rFonts w:hint="default" w:ascii="宋体" w:hAnsi="宋体" w:cs="宋体"/>
                <w:szCs w:val="22"/>
              </w:rPr>
              <w:t>若通过资格审查和符合性审查的有效投标人为2家，采购人可继续评审，按综合评分由高到低确定1家入库供应商；全库统一协议单价按该入库供应商对应分项有效报价确定，不再执行3家算术平均值。采购人认为竞争不足或履约风险较大的，也可终止本次采购并重新组织。</w:t>
            </w:r>
          </w:p>
          <w:p w14:paraId="602DC25A">
            <w:pPr>
              <w:keepNext w:val="0"/>
              <w:keepLines w:val="0"/>
              <w:numPr>
                <w:ilvl w:val="0"/>
                <w:numId w:val="0"/>
              </w:numPr>
              <w:suppressLineNumbers w:val="0"/>
              <w:spacing w:before="0" w:beforeAutospacing="0" w:after="0" w:afterAutospacing="0" w:line="360" w:lineRule="auto"/>
              <w:ind w:left="0" w:right="0" w:rightChars="0"/>
              <w:rPr>
                <w:rFonts w:hint="default" w:ascii="宋体" w:hAnsi="宋体" w:cs="宋体"/>
                <w:szCs w:val="22"/>
              </w:rPr>
            </w:pPr>
            <w:r>
              <w:rPr>
                <w:rFonts w:hint="default" w:ascii="宋体" w:hAnsi="宋体" w:cs="宋体"/>
                <w:szCs w:val="22"/>
              </w:rPr>
              <w:t>（</w:t>
            </w:r>
            <w:r>
              <w:rPr>
                <w:rFonts w:hint="eastAsia" w:ascii="宋体" w:hAnsi="宋体" w:cs="宋体"/>
                <w:szCs w:val="22"/>
                <w:lang w:val="en-US" w:eastAsia="zh-CN"/>
              </w:rPr>
              <w:t>3</w:t>
            </w:r>
            <w:r>
              <w:rPr>
                <w:rFonts w:hint="default" w:ascii="宋体" w:hAnsi="宋体" w:cs="宋体"/>
                <w:szCs w:val="22"/>
              </w:rPr>
              <w:t>）若通过资格审查和符合性审查的有效投标人为1家时，终止本次采购，重新组织。</w:t>
            </w:r>
          </w:p>
        </w:tc>
      </w:tr>
    </w:tbl>
    <w:p w14:paraId="26A8C224">
      <w:pPr>
        <w:pStyle w:val="8"/>
        <w:spacing w:line="360" w:lineRule="auto"/>
        <w:rPr>
          <w:rFonts w:ascii="宋体" w:hAnsi="宋体" w:eastAsia="宋体" w:cs="宋体"/>
        </w:rPr>
      </w:pPr>
    </w:p>
    <w:p w14:paraId="58E5915F">
      <w:pPr>
        <w:rPr>
          <w:rFonts w:ascii="宋体" w:hAnsi="宋体" w:eastAsia="宋体" w:cs="宋体"/>
        </w:rPr>
        <w:sectPr>
          <w:footerReference r:id="rId6" w:type="first"/>
          <w:footerReference r:id="rId5" w:type="default"/>
          <w:pgSz w:w="12242" w:h="15842"/>
          <w:pgMar w:top="1701" w:right="1080" w:bottom="1587" w:left="1080" w:header="720" w:footer="720" w:gutter="0"/>
          <w:pgNumType w:fmt="decimal" w:start="1"/>
          <w:cols w:space="720" w:num="1"/>
          <w:titlePg/>
          <w:docGrid w:type="linesAndChars" w:linePitch="312" w:charSpace="0"/>
        </w:sectPr>
      </w:pPr>
    </w:p>
    <w:bookmarkEnd w:id="37"/>
    <w:bookmarkEnd w:id="38"/>
    <w:bookmarkEnd w:id="39"/>
    <w:bookmarkEnd w:id="40"/>
    <w:bookmarkEnd w:id="41"/>
    <w:bookmarkEnd w:id="42"/>
    <w:bookmarkEnd w:id="43"/>
    <w:p w14:paraId="05442CC3">
      <w:pPr>
        <w:spacing w:line="360" w:lineRule="auto"/>
        <w:jc w:val="center"/>
        <w:rPr>
          <w:rFonts w:ascii="宋体" w:hAnsi="宋体" w:cs="宋体"/>
          <w:b/>
          <w:bCs/>
        </w:rPr>
      </w:pPr>
      <w:r>
        <w:rPr>
          <w:rFonts w:hint="eastAsia" w:ascii="宋体" w:hAnsi="宋体" w:cs="宋体"/>
          <w:b/>
        </w:rPr>
        <w:t>投标人须知</w:t>
      </w:r>
    </w:p>
    <w:p w14:paraId="630C1EBA">
      <w:pPr>
        <w:spacing w:line="360" w:lineRule="auto"/>
        <w:outlineLvl w:val="1"/>
        <w:rPr>
          <w:rFonts w:ascii="宋体" w:hAnsi="宋体" w:cs="宋体"/>
          <w:b/>
          <w:bCs/>
        </w:rPr>
      </w:pPr>
      <w:bookmarkStart w:id="44" w:name="_Toc487461252"/>
      <w:bookmarkStart w:id="45" w:name="_Toc21045"/>
      <w:bookmarkStart w:id="46" w:name="_Toc493081565"/>
      <w:bookmarkStart w:id="47" w:name="_Toc487641631"/>
      <w:bookmarkStart w:id="48" w:name="_Toc1284"/>
      <w:r>
        <w:rPr>
          <w:rFonts w:hint="eastAsia" w:ascii="宋体" w:hAnsi="宋体" w:cs="宋体"/>
          <w:b/>
          <w:bCs/>
        </w:rPr>
        <w:t>1. 总则</w:t>
      </w:r>
      <w:bookmarkEnd w:id="44"/>
      <w:bookmarkEnd w:id="45"/>
      <w:bookmarkEnd w:id="46"/>
      <w:bookmarkEnd w:id="47"/>
      <w:bookmarkEnd w:id="48"/>
    </w:p>
    <w:p w14:paraId="1DE6CB0D">
      <w:pPr>
        <w:spacing w:line="360" w:lineRule="auto"/>
        <w:ind w:firstLine="420" w:firstLineChars="200"/>
        <w:outlineLvl w:val="2"/>
        <w:rPr>
          <w:rFonts w:ascii="宋体" w:hAnsi="宋体" w:cs="宋体"/>
          <w:b/>
          <w:bCs/>
        </w:rPr>
      </w:pPr>
      <w:bookmarkStart w:id="49" w:name="_Toc179632547"/>
      <w:bookmarkStart w:id="50" w:name="_Toc493081566"/>
      <w:bookmarkStart w:id="51" w:name="_Toc152045530"/>
      <w:bookmarkStart w:id="52" w:name="_Toc144974498"/>
      <w:bookmarkStart w:id="53" w:name="_Toc152042306"/>
      <w:bookmarkStart w:id="54" w:name="_Toc487461253"/>
      <w:r>
        <w:rPr>
          <w:rFonts w:hint="eastAsia" w:ascii="宋体" w:hAnsi="宋体" w:cs="宋体"/>
          <w:b/>
          <w:bCs/>
        </w:rPr>
        <w:t>1.1 项目概况</w:t>
      </w:r>
      <w:bookmarkEnd w:id="49"/>
      <w:bookmarkEnd w:id="50"/>
      <w:bookmarkEnd w:id="51"/>
      <w:bookmarkEnd w:id="52"/>
      <w:bookmarkEnd w:id="53"/>
      <w:bookmarkEnd w:id="54"/>
    </w:p>
    <w:p w14:paraId="398C3F6B">
      <w:pPr>
        <w:spacing w:line="360" w:lineRule="auto"/>
        <w:ind w:firstLine="420" w:firstLineChars="200"/>
        <w:rPr>
          <w:rFonts w:ascii="宋体" w:hAnsi="宋体" w:cs="宋体"/>
          <w:bCs/>
        </w:rPr>
      </w:pPr>
      <w:r>
        <w:rPr>
          <w:rFonts w:hint="eastAsia" w:ascii="宋体" w:hAnsi="宋体" w:cs="宋体"/>
          <w:bCs/>
        </w:rPr>
        <w:t>1.1.1现对本项目（非依法必招项目）进行招标。</w:t>
      </w:r>
    </w:p>
    <w:p w14:paraId="6B4C2402">
      <w:pPr>
        <w:spacing w:line="360" w:lineRule="auto"/>
        <w:ind w:firstLine="420" w:firstLineChars="200"/>
        <w:rPr>
          <w:rFonts w:ascii="宋体" w:hAnsi="宋体" w:cs="宋体"/>
          <w:bCs/>
        </w:rPr>
      </w:pPr>
      <w:r>
        <w:rPr>
          <w:rFonts w:hint="eastAsia" w:ascii="宋体" w:hAnsi="宋体" w:cs="宋体"/>
          <w:bCs/>
        </w:rPr>
        <w:t>1.1.2 本招标项目招标人：见投标人须知前附表。</w:t>
      </w:r>
    </w:p>
    <w:p w14:paraId="224F544A">
      <w:pPr>
        <w:spacing w:line="360" w:lineRule="auto"/>
        <w:ind w:firstLine="420" w:firstLineChars="200"/>
        <w:rPr>
          <w:rFonts w:ascii="宋体" w:hAnsi="宋体" w:cs="宋体"/>
          <w:bCs/>
        </w:rPr>
      </w:pPr>
      <w:r>
        <w:rPr>
          <w:rFonts w:hint="eastAsia" w:ascii="宋体" w:hAnsi="宋体" w:cs="宋体"/>
          <w:bCs/>
        </w:rPr>
        <w:t>1.1.3 本标段招标代理机构：见投标人须知前附表。</w:t>
      </w:r>
    </w:p>
    <w:p w14:paraId="3FD7F05F">
      <w:pPr>
        <w:spacing w:line="360" w:lineRule="auto"/>
        <w:ind w:firstLine="420" w:firstLineChars="200"/>
        <w:rPr>
          <w:rFonts w:ascii="宋体" w:hAnsi="宋体" w:cs="宋体"/>
          <w:bCs/>
        </w:rPr>
      </w:pPr>
      <w:r>
        <w:rPr>
          <w:rFonts w:hint="eastAsia" w:ascii="宋体" w:hAnsi="宋体" w:cs="宋体"/>
          <w:bCs/>
        </w:rPr>
        <w:t>1.1.4 本招标项目名称：见投标人须知前附表。</w:t>
      </w:r>
    </w:p>
    <w:p w14:paraId="37068DF8">
      <w:pPr>
        <w:spacing w:line="360" w:lineRule="auto"/>
        <w:ind w:firstLine="420" w:firstLineChars="200"/>
        <w:rPr>
          <w:rFonts w:ascii="宋体" w:hAnsi="宋体" w:cs="宋体"/>
          <w:bCs/>
        </w:rPr>
      </w:pPr>
      <w:r>
        <w:rPr>
          <w:rFonts w:hint="eastAsia" w:ascii="宋体" w:hAnsi="宋体" w:cs="宋体"/>
          <w:bCs/>
        </w:rPr>
        <w:t>1.1.5 本标段服务地点：见投标人须知前附表。</w:t>
      </w:r>
    </w:p>
    <w:p w14:paraId="3FCC7BFD">
      <w:pPr>
        <w:spacing w:line="360" w:lineRule="auto"/>
        <w:ind w:firstLine="420" w:firstLineChars="200"/>
        <w:outlineLvl w:val="2"/>
        <w:rPr>
          <w:rFonts w:ascii="宋体" w:hAnsi="宋体" w:cs="宋体"/>
          <w:b/>
          <w:bCs/>
        </w:rPr>
      </w:pPr>
      <w:bookmarkStart w:id="55" w:name="_Toc493081567"/>
      <w:bookmarkStart w:id="56" w:name="_Toc152042307"/>
      <w:bookmarkStart w:id="57" w:name="_Toc487461254"/>
      <w:bookmarkStart w:id="58" w:name="_Toc179632548"/>
      <w:bookmarkStart w:id="59" w:name="_Toc144974499"/>
      <w:bookmarkStart w:id="60" w:name="_Toc152045531"/>
      <w:r>
        <w:rPr>
          <w:rFonts w:hint="eastAsia" w:ascii="宋体" w:hAnsi="宋体" w:cs="宋体"/>
          <w:b/>
          <w:bCs/>
        </w:rPr>
        <w:t>1.2 资金来源和落实情况</w:t>
      </w:r>
      <w:bookmarkEnd w:id="55"/>
      <w:bookmarkEnd w:id="56"/>
      <w:bookmarkEnd w:id="57"/>
      <w:bookmarkEnd w:id="58"/>
      <w:bookmarkEnd w:id="59"/>
      <w:bookmarkEnd w:id="60"/>
    </w:p>
    <w:p w14:paraId="09B3CB88">
      <w:pPr>
        <w:spacing w:line="360" w:lineRule="auto"/>
        <w:ind w:firstLine="420" w:firstLineChars="200"/>
        <w:rPr>
          <w:rFonts w:ascii="宋体" w:hAnsi="宋体" w:cs="宋体"/>
          <w:bCs/>
        </w:rPr>
      </w:pPr>
      <w:r>
        <w:rPr>
          <w:rFonts w:hint="eastAsia" w:ascii="宋体" w:hAnsi="宋体" w:cs="宋体"/>
          <w:bCs/>
        </w:rPr>
        <w:t>1.2.1 本招标项目的资金来源：见投标人须知前附表。</w:t>
      </w:r>
    </w:p>
    <w:p w14:paraId="377D611E">
      <w:pPr>
        <w:spacing w:line="360" w:lineRule="auto"/>
        <w:ind w:firstLine="420" w:firstLineChars="200"/>
        <w:rPr>
          <w:rFonts w:ascii="宋体" w:hAnsi="宋体" w:cs="宋体"/>
          <w:bCs/>
        </w:rPr>
      </w:pPr>
      <w:r>
        <w:rPr>
          <w:rFonts w:hint="eastAsia" w:ascii="宋体" w:hAnsi="宋体" w:cs="宋体"/>
          <w:bCs/>
        </w:rPr>
        <w:t>1.2.2 本招标项目的出资比例：见投标人须知前附表。</w:t>
      </w:r>
    </w:p>
    <w:p w14:paraId="673AF3CB">
      <w:pPr>
        <w:spacing w:line="360" w:lineRule="auto"/>
        <w:ind w:firstLine="420" w:firstLineChars="200"/>
        <w:rPr>
          <w:rFonts w:ascii="宋体" w:hAnsi="宋体" w:cs="宋体"/>
          <w:bCs/>
        </w:rPr>
      </w:pPr>
      <w:r>
        <w:rPr>
          <w:rFonts w:hint="eastAsia" w:ascii="宋体" w:hAnsi="宋体" w:cs="宋体"/>
          <w:bCs/>
        </w:rPr>
        <w:t>1.2.3 本招标项目的资金落实情况：见投标人须知前附表。</w:t>
      </w:r>
    </w:p>
    <w:p w14:paraId="6DDD7ABB">
      <w:pPr>
        <w:spacing w:line="360" w:lineRule="auto"/>
        <w:ind w:firstLine="420" w:firstLineChars="200"/>
        <w:outlineLvl w:val="2"/>
        <w:rPr>
          <w:rFonts w:ascii="宋体" w:hAnsi="宋体" w:cs="宋体"/>
          <w:bCs/>
        </w:rPr>
      </w:pPr>
      <w:bookmarkStart w:id="61" w:name="_Toc179632549"/>
      <w:bookmarkStart w:id="62" w:name="_Toc152045532"/>
      <w:bookmarkStart w:id="63" w:name="_Toc152042308"/>
      <w:bookmarkStart w:id="64" w:name="_Toc487461255"/>
      <w:bookmarkStart w:id="65" w:name="_Toc144974500"/>
      <w:bookmarkStart w:id="66" w:name="_Toc493081568"/>
      <w:r>
        <w:rPr>
          <w:rFonts w:hint="eastAsia" w:ascii="宋体" w:hAnsi="宋体" w:cs="宋体"/>
          <w:b/>
          <w:bCs/>
        </w:rPr>
        <w:t>1.3 招标范围、服务期限和</w:t>
      </w:r>
      <w:bookmarkEnd w:id="61"/>
      <w:bookmarkEnd w:id="62"/>
      <w:bookmarkEnd w:id="63"/>
      <w:bookmarkEnd w:id="64"/>
      <w:bookmarkEnd w:id="65"/>
      <w:r>
        <w:rPr>
          <w:rFonts w:hint="eastAsia" w:ascii="宋体" w:hAnsi="宋体" w:cs="宋体"/>
          <w:b/>
          <w:bCs/>
        </w:rPr>
        <w:t>质量标准</w:t>
      </w:r>
      <w:bookmarkEnd w:id="66"/>
    </w:p>
    <w:p w14:paraId="375B3014">
      <w:pPr>
        <w:spacing w:line="360" w:lineRule="auto"/>
        <w:ind w:firstLine="420" w:firstLineChars="200"/>
        <w:rPr>
          <w:rFonts w:ascii="宋体" w:hAnsi="宋体" w:cs="宋体"/>
          <w:bCs/>
        </w:rPr>
      </w:pPr>
      <w:r>
        <w:rPr>
          <w:rFonts w:hint="eastAsia" w:ascii="宋体" w:hAnsi="宋体" w:cs="宋体"/>
          <w:bCs/>
        </w:rPr>
        <w:t>1.3.1 本次招标范围：见投标人须知前附表。</w:t>
      </w:r>
    </w:p>
    <w:p w14:paraId="1D8D708E">
      <w:pPr>
        <w:spacing w:line="360" w:lineRule="auto"/>
        <w:ind w:firstLine="420" w:firstLineChars="200"/>
        <w:rPr>
          <w:rFonts w:ascii="宋体" w:hAnsi="宋体" w:cs="宋体"/>
          <w:bCs/>
        </w:rPr>
      </w:pPr>
      <w:r>
        <w:rPr>
          <w:rFonts w:hint="eastAsia" w:ascii="宋体" w:hAnsi="宋体" w:cs="宋体"/>
          <w:bCs/>
        </w:rPr>
        <w:t>1.3.2 本标段的服务期限：见投标人须知前附表。</w:t>
      </w:r>
    </w:p>
    <w:p w14:paraId="20E6C66E">
      <w:pPr>
        <w:spacing w:line="360" w:lineRule="auto"/>
        <w:ind w:firstLine="420" w:firstLineChars="200"/>
        <w:rPr>
          <w:rFonts w:ascii="宋体" w:hAnsi="宋体" w:cs="宋体"/>
          <w:bCs/>
        </w:rPr>
      </w:pPr>
      <w:r>
        <w:rPr>
          <w:rFonts w:hint="eastAsia" w:ascii="宋体" w:hAnsi="宋体" w:cs="宋体"/>
          <w:bCs/>
        </w:rPr>
        <w:t>1.3.3 本项目的质量标准：见投标人须知前附表。</w:t>
      </w:r>
    </w:p>
    <w:p w14:paraId="116C2788">
      <w:pPr>
        <w:spacing w:line="360" w:lineRule="auto"/>
        <w:ind w:firstLine="420" w:firstLineChars="200"/>
        <w:outlineLvl w:val="2"/>
        <w:rPr>
          <w:rFonts w:ascii="宋体" w:hAnsi="宋体" w:cs="宋体"/>
          <w:b/>
          <w:bCs/>
        </w:rPr>
      </w:pPr>
      <w:bookmarkStart w:id="67" w:name="_Toc152042310"/>
      <w:bookmarkStart w:id="68" w:name="_Toc144974502"/>
      <w:bookmarkStart w:id="69" w:name="_Toc179632551"/>
      <w:bookmarkStart w:id="70" w:name="_Toc487461256"/>
      <w:bookmarkStart w:id="71" w:name="_Toc493081569"/>
      <w:bookmarkStart w:id="72" w:name="_Toc152045534"/>
      <w:r>
        <w:rPr>
          <w:rFonts w:hint="eastAsia" w:ascii="宋体" w:hAnsi="宋体" w:cs="宋体"/>
          <w:b/>
          <w:bCs/>
        </w:rPr>
        <w:t>1.4 投标人资格要求</w:t>
      </w:r>
      <w:bookmarkEnd w:id="67"/>
      <w:bookmarkEnd w:id="68"/>
      <w:bookmarkEnd w:id="69"/>
      <w:bookmarkEnd w:id="70"/>
      <w:bookmarkEnd w:id="71"/>
      <w:bookmarkEnd w:id="72"/>
    </w:p>
    <w:p w14:paraId="4EAE7BB9">
      <w:pPr>
        <w:spacing w:line="360" w:lineRule="auto"/>
        <w:ind w:firstLine="420" w:firstLineChars="200"/>
        <w:rPr>
          <w:rFonts w:ascii="宋体" w:hAnsi="宋体" w:cs="宋体"/>
          <w:bCs/>
        </w:rPr>
      </w:pPr>
      <w:r>
        <w:rPr>
          <w:rFonts w:hint="eastAsia" w:ascii="宋体" w:hAnsi="宋体" w:cs="宋体"/>
          <w:bCs/>
        </w:rPr>
        <w:t>1.4.1投标人应具备承担本项目的资质条件、能力等：见投标人须知前附表。</w:t>
      </w:r>
    </w:p>
    <w:p w14:paraId="41C7756F">
      <w:pPr>
        <w:spacing w:line="360" w:lineRule="auto"/>
        <w:ind w:firstLine="420" w:firstLineChars="200"/>
        <w:rPr>
          <w:rFonts w:ascii="宋体" w:hAnsi="宋体" w:cs="宋体"/>
          <w:bCs/>
        </w:rPr>
      </w:pPr>
      <w:r>
        <w:rPr>
          <w:rFonts w:hint="eastAsia" w:ascii="宋体" w:hAnsi="宋体" w:cs="宋体"/>
          <w:bCs/>
        </w:rPr>
        <w:t>1.4.</w:t>
      </w:r>
      <w:r>
        <w:rPr>
          <w:rFonts w:ascii="宋体" w:hAnsi="宋体" w:cs="宋体"/>
          <w:bCs/>
        </w:rPr>
        <w:t>2</w:t>
      </w:r>
      <w:r>
        <w:rPr>
          <w:rFonts w:hint="eastAsia" w:ascii="宋体" w:hAnsi="宋体" w:cs="宋体"/>
          <w:bCs/>
        </w:rPr>
        <w:t>投标人之间如果存在下列情形之一的，不得同时参加同一标段（包别）或者不分标段（包别）的同一项目投标：</w:t>
      </w:r>
    </w:p>
    <w:p w14:paraId="12CCC9BD">
      <w:pPr>
        <w:spacing w:line="360" w:lineRule="auto"/>
        <w:ind w:firstLine="420" w:firstLineChars="200"/>
        <w:rPr>
          <w:rFonts w:ascii="宋体" w:hAnsi="宋体" w:cs="宋体"/>
          <w:bCs/>
        </w:rPr>
      </w:pPr>
      <w:r>
        <w:rPr>
          <w:rFonts w:hint="eastAsia" w:ascii="宋体" w:hAnsi="宋体" w:cs="宋体"/>
          <w:bCs/>
        </w:rPr>
        <w:t>（1）法定代表人为同一个人的两个及两个以上法人；</w:t>
      </w:r>
    </w:p>
    <w:p w14:paraId="2FC9EA0A">
      <w:pPr>
        <w:spacing w:line="360" w:lineRule="auto"/>
        <w:ind w:firstLine="420" w:firstLineChars="200"/>
        <w:rPr>
          <w:rFonts w:ascii="宋体" w:hAnsi="宋体" w:cs="宋体"/>
          <w:bCs/>
        </w:rPr>
      </w:pPr>
      <w:r>
        <w:rPr>
          <w:rFonts w:hint="eastAsia" w:ascii="宋体" w:hAnsi="宋体" w:cs="宋体"/>
          <w:bCs/>
        </w:rPr>
        <w:t>（2）母公司、全资子公司及其控股公司；</w:t>
      </w:r>
    </w:p>
    <w:p w14:paraId="16E3866C">
      <w:pPr>
        <w:spacing w:line="360" w:lineRule="auto"/>
        <w:ind w:firstLine="420" w:firstLineChars="200"/>
        <w:rPr>
          <w:rFonts w:ascii="宋体" w:hAnsi="宋体" w:cs="宋体"/>
          <w:bCs/>
        </w:rPr>
      </w:pPr>
      <w:r>
        <w:rPr>
          <w:rFonts w:hint="eastAsia" w:ascii="宋体" w:hAnsi="宋体" w:cs="宋体"/>
          <w:bCs/>
        </w:rPr>
        <w:t>（3）参加投标的其他组织之间存在特殊的利害关系的；</w:t>
      </w:r>
    </w:p>
    <w:p w14:paraId="7CF52F13">
      <w:pPr>
        <w:spacing w:line="360" w:lineRule="auto"/>
        <w:ind w:firstLine="420" w:firstLineChars="200"/>
        <w:rPr>
          <w:rFonts w:ascii="宋体" w:hAnsi="宋体" w:cs="宋体"/>
          <w:bCs/>
        </w:rPr>
      </w:pPr>
      <w:r>
        <w:rPr>
          <w:rFonts w:hint="eastAsia" w:ascii="宋体" w:hAnsi="宋体" w:cs="宋体"/>
          <w:bCs/>
        </w:rPr>
        <w:t>（4）法律和行政法规规定的其他情形。</w:t>
      </w:r>
    </w:p>
    <w:p w14:paraId="491DDDAB">
      <w:pPr>
        <w:spacing w:line="360" w:lineRule="auto"/>
        <w:ind w:firstLine="420" w:firstLineChars="200"/>
        <w:rPr>
          <w:rFonts w:ascii="宋体" w:hAnsi="宋体" w:cs="宋体"/>
        </w:rPr>
      </w:pPr>
      <w:r>
        <w:rPr>
          <w:rFonts w:hint="eastAsia" w:ascii="宋体" w:hAnsi="宋体" w:cs="宋体"/>
          <w:bCs/>
        </w:rPr>
        <w:t>（5）</w:t>
      </w:r>
      <w:r>
        <w:rPr>
          <w:rFonts w:hint="eastAsia" w:ascii="宋体" w:hAnsi="宋体" w:cs="宋体"/>
        </w:rPr>
        <w:t>近三年（自招标公告向前追溯三年）内在经营活动中有行贿犯罪记录的；</w:t>
      </w:r>
    </w:p>
    <w:p w14:paraId="2381438B">
      <w:pPr>
        <w:spacing w:line="360" w:lineRule="auto"/>
        <w:ind w:firstLine="420" w:firstLineChars="200"/>
        <w:rPr>
          <w:rFonts w:ascii="宋体" w:hAnsi="宋体" w:cs="宋体"/>
        </w:rPr>
      </w:pPr>
      <w:r>
        <w:rPr>
          <w:rFonts w:hint="eastAsia" w:ascii="宋体" w:hAnsi="宋体" w:cs="宋体"/>
        </w:rPr>
        <w:t>（6）在安徽省境内有因违法违规、不良履约等行为而被行政主管部门做出不良行为记录且在信息公开发布期；在安徽省境内被招投标监督管理部门或行业主管部门取消投标资格且在处罚期内</w:t>
      </w:r>
    </w:p>
    <w:p w14:paraId="5E4D7568">
      <w:pPr>
        <w:spacing w:line="360" w:lineRule="auto"/>
        <w:ind w:firstLine="420" w:firstLineChars="200"/>
        <w:rPr>
          <w:rFonts w:ascii="宋体" w:hAnsi="宋体" w:cs="宋体"/>
          <w:bCs/>
        </w:rPr>
      </w:pPr>
      <w:r>
        <w:rPr>
          <w:rFonts w:hint="eastAsia" w:ascii="宋体" w:hAnsi="宋体" w:cs="宋体"/>
          <w:bCs/>
        </w:rPr>
        <w:t>有以上情形之一参与投标的，无论是否中标均视为弄虚作假，骗取中标行为。</w:t>
      </w:r>
    </w:p>
    <w:p w14:paraId="420A12F7">
      <w:pPr>
        <w:spacing w:line="360" w:lineRule="auto"/>
        <w:ind w:firstLine="420" w:firstLineChars="200"/>
        <w:outlineLvl w:val="2"/>
        <w:rPr>
          <w:rFonts w:ascii="宋体" w:hAnsi="宋体" w:cs="宋体"/>
          <w:b/>
          <w:bCs/>
        </w:rPr>
      </w:pPr>
      <w:bookmarkStart w:id="73" w:name="_Toc487461257"/>
      <w:bookmarkStart w:id="74" w:name="_Toc152042311"/>
      <w:bookmarkStart w:id="75" w:name="_Toc493081570"/>
      <w:bookmarkStart w:id="76" w:name="_Toc179632552"/>
      <w:bookmarkStart w:id="77" w:name="_Toc152045535"/>
      <w:bookmarkStart w:id="78" w:name="_Toc144974503"/>
      <w:r>
        <w:rPr>
          <w:rFonts w:hint="eastAsia" w:ascii="宋体" w:hAnsi="宋体" w:cs="宋体"/>
          <w:b/>
          <w:bCs/>
        </w:rPr>
        <w:t>1.5 费用承担</w:t>
      </w:r>
      <w:bookmarkEnd w:id="73"/>
      <w:bookmarkEnd w:id="74"/>
      <w:bookmarkEnd w:id="75"/>
      <w:bookmarkEnd w:id="76"/>
      <w:bookmarkEnd w:id="77"/>
      <w:bookmarkEnd w:id="78"/>
    </w:p>
    <w:p w14:paraId="0D9CE650">
      <w:pPr>
        <w:spacing w:line="360" w:lineRule="auto"/>
        <w:ind w:firstLine="420" w:firstLineChars="200"/>
        <w:rPr>
          <w:rFonts w:ascii="宋体" w:hAnsi="宋体" w:cs="宋体"/>
          <w:bCs/>
        </w:rPr>
      </w:pPr>
      <w:bookmarkStart w:id="79" w:name="_Toc152045536"/>
      <w:bookmarkStart w:id="80" w:name="_Toc144974504"/>
      <w:bookmarkStart w:id="81" w:name="_Toc179632553"/>
      <w:bookmarkStart w:id="82" w:name="_Toc152042312"/>
      <w:r>
        <w:rPr>
          <w:rFonts w:hint="eastAsia" w:ascii="宋体" w:hAnsi="宋体" w:cs="宋体"/>
          <w:bCs/>
        </w:rPr>
        <w:t>1.5.1投标人准备和参加投标活动发生的费用自理。</w:t>
      </w:r>
    </w:p>
    <w:p w14:paraId="7AB0228C">
      <w:pPr>
        <w:spacing w:line="360" w:lineRule="auto"/>
        <w:ind w:firstLine="420" w:firstLineChars="200"/>
        <w:rPr>
          <w:rFonts w:ascii="宋体" w:hAnsi="宋体" w:cs="宋体"/>
          <w:bCs/>
        </w:rPr>
      </w:pPr>
      <w:r>
        <w:rPr>
          <w:rFonts w:hint="eastAsia" w:ascii="宋体" w:hAnsi="宋体" w:cs="宋体"/>
          <w:bCs/>
        </w:rPr>
        <w:t>1.5.2招标代理服务费：见投标人须知前附表。</w:t>
      </w:r>
    </w:p>
    <w:p w14:paraId="101631DF">
      <w:pPr>
        <w:spacing w:line="360" w:lineRule="auto"/>
        <w:ind w:firstLine="420" w:firstLineChars="200"/>
        <w:outlineLvl w:val="2"/>
        <w:rPr>
          <w:rFonts w:ascii="宋体" w:hAnsi="宋体" w:cs="宋体"/>
          <w:b/>
          <w:bCs/>
        </w:rPr>
      </w:pPr>
      <w:bookmarkStart w:id="83" w:name="_Toc493081571"/>
      <w:bookmarkStart w:id="84" w:name="_Toc487461258"/>
      <w:r>
        <w:rPr>
          <w:rFonts w:hint="eastAsia" w:ascii="宋体" w:hAnsi="宋体" w:cs="宋体"/>
          <w:b/>
          <w:bCs/>
        </w:rPr>
        <w:t>1.6 保密</w:t>
      </w:r>
      <w:bookmarkEnd w:id="79"/>
      <w:bookmarkEnd w:id="80"/>
      <w:bookmarkEnd w:id="81"/>
      <w:bookmarkEnd w:id="82"/>
      <w:bookmarkEnd w:id="83"/>
      <w:bookmarkEnd w:id="84"/>
    </w:p>
    <w:p w14:paraId="206DB9F5">
      <w:pPr>
        <w:spacing w:line="360" w:lineRule="auto"/>
        <w:ind w:firstLine="420" w:firstLineChars="200"/>
        <w:rPr>
          <w:rFonts w:ascii="宋体" w:hAnsi="宋体" w:cs="宋体"/>
          <w:bCs/>
        </w:rPr>
      </w:pPr>
      <w:r>
        <w:rPr>
          <w:rFonts w:hint="eastAsia" w:ascii="宋体" w:hAnsi="宋体" w:cs="宋体"/>
          <w:bCs/>
        </w:rPr>
        <w:t>参与招标投标活动的各方应对</w:t>
      </w:r>
      <w:r>
        <w:rPr>
          <w:rFonts w:hint="eastAsia" w:ascii="宋体" w:hAnsi="宋体" w:cs="宋体"/>
          <w:bCs/>
          <w:lang w:eastAsia="zh-CN"/>
        </w:rPr>
        <w:t>遴选文件</w:t>
      </w:r>
      <w:r>
        <w:rPr>
          <w:rFonts w:hint="eastAsia" w:ascii="宋体" w:hAnsi="宋体" w:cs="宋体"/>
          <w:bCs/>
        </w:rPr>
        <w:t xml:space="preserve">和投标文件中的商业和技术等秘密保密，违者应对由此造成的后果承担法律责任。 </w:t>
      </w:r>
    </w:p>
    <w:p w14:paraId="10D3E9D5">
      <w:pPr>
        <w:spacing w:line="360" w:lineRule="auto"/>
        <w:ind w:firstLine="420" w:firstLineChars="200"/>
        <w:outlineLvl w:val="2"/>
        <w:rPr>
          <w:rFonts w:ascii="宋体" w:hAnsi="宋体" w:cs="宋体"/>
          <w:b/>
          <w:bCs/>
        </w:rPr>
      </w:pPr>
      <w:bookmarkStart w:id="85" w:name="_Toc144974505"/>
      <w:bookmarkStart w:id="86" w:name="_Toc487461259"/>
      <w:bookmarkStart w:id="87" w:name="_Toc152045537"/>
      <w:bookmarkStart w:id="88" w:name="_Toc152042313"/>
      <w:bookmarkStart w:id="89" w:name="_Toc493081572"/>
      <w:bookmarkStart w:id="90" w:name="_Toc179632554"/>
      <w:r>
        <w:rPr>
          <w:rFonts w:hint="eastAsia" w:ascii="宋体" w:hAnsi="宋体" w:cs="宋体"/>
          <w:b/>
          <w:bCs/>
        </w:rPr>
        <w:t>1.7 语言</w:t>
      </w:r>
      <w:bookmarkEnd w:id="85"/>
      <w:r>
        <w:rPr>
          <w:rFonts w:hint="eastAsia" w:ascii="宋体" w:hAnsi="宋体" w:cs="宋体"/>
          <w:b/>
          <w:bCs/>
        </w:rPr>
        <w:t>文字</w:t>
      </w:r>
      <w:bookmarkEnd w:id="86"/>
      <w:bookmarkEnd w:id="87"/>
      <w:bookmarkEnd w:id="88"/>
      <w:bookmarkEnd w:id="89"/>
      <w:bookmarkEnd w:id="90"/>
    </w:p>
    <w:p w14:paraId="654E3709">
      <w:pPr>
        <w:spacing w:line="360" w:lineRule="auto"/>
        <w:ind w:firstLine="420" w:firstLineChars="200"/>
        <w:rPr>
          <w:rFonts w:ascii="宋体" w:hAnsi="宋体" w:cs="宋体"/>
          <w:bCs/>
        </w:rPr>
      </w:pPr>
      <w:r>
        <w:rPr>
          <w:rFonts w:hint="eastAsia" w:ascii="宋体" w:hAnsi="宋体" w:cs="宋体"/>
          <w:bCs/>
        </w:rPr>
        <w:t>除专用术语外，与招标投标有关的语言均使用中文。必要时专用术语应附有中文注释。</w:t>
      </w:r>
    </w:p>
    <w:p w14:paraId="15D6BBA0">
      <w:pPr>
        <w:spacing w:line="360" w:lineRule="auto"/>
        <w:ind w:firstLine="420" w:firstLineChars="200"/>
        <w:outlineLvl w:val="2"/>
        <w:rPr>
          <w:rFonts w:ascii="宋体" w:hAnsi="宋体" w:cs="宋体"/>
          <w:bCs/>
        </w:rPr>
      </w:pPr>
      <w:bookmarkStart w:id="91" w:name="_Toc152045538"/>
      <w:bookmarkStart w:id="92" w:name="_Toc179632555"/>
      <w:bookmarkStart w:id="93" w:name="_Toc493081573"/>
      <w:bookmarkStart w:id="94" w:name="_Toc487461260"/>
      <w:bookmarkStart w:id="95" w:name="_Toc144974506"/>
      <w:bookmarkStart w:id="96" w:name="_Toc152042314"/>
      <w:r>
        <w:rPr>
          <w:rFonts w:hint="eastAsia" w:ascii="宋体" w:hAnsi="宋体" w:cs="宋体"/>
          <w:b/>
          <w:bCs/>
        </w:rPr>
        <w:t>1.8 计量单位</w:t>
      </w:r>
      <w:bookmarkEnd w:id="91"/>
      <w:bookmarkEnd w:id="92"/>
      <w:bookmarkEnd w:id="93"/>
      <w:bookmarkEnd w:id="94"/>
      <w:bookmarkEnd w:id="95"/>
      <w:bookmarkEnd w:id="96"/>
    </w:p>
    <w:p w14:paraId="4C17C172">
      <w:pPr>
        <w:spacing w:line="360" w:lineRule="auto"/>
        <w:ind w:firstLine="420" w:firstLineChars="200"/>
        <w:rPr>
          <w:rFonts w:ascii="宋体" w:hAnsi="宋体" w:cs="宋体"/>
          <w:bCs/>
        </w:rPr>
      </w:pPr>
      <w:r>
        <w:rPr>
          <w:rFonts w:hint="eastAsia" w:ascii="宋体" w:hAnsi="宋体" w:cs="宋体"/>
          <w:bCs/>
        </w:rPr>
        <w:t>所有计量均采用中华人民共和国法定计量单位。</w:t>
      </w:r>
    </w:p>
    <w:p w14:paraId="6A22B872">
      <w:pPr>
        <w:spacing w:line="360" w:lineRule="auto"/>
        <w:ind w:firstLine="420" w:firstLineChars="200"/>
        <w:outlineLvl w:val="2"/>
        <w:rPr>
          <w:rFonts w:ascii="宋体" w:hAnsi="宋体" w:cs="宋体"/>
          <w:b/>
          <w:bCs/>
        </w:rPr>
      </w:pPr>
      <w:bookmarkStart w:id="97" w:name="_Toc493081574"/>
      <w:bookmarkStart w:id="98" w:name="_Toc144974507"/>
      <w:bookmarkStart w:id="99" w:name="_Toc152045539"/>
      <w:bookmarkStart w:id="100" w:name="_Toc179632556"/>
      <w:bookmarkStart w:id="101" w:name="_Toc487461261"/>
      <w:bookmarkStart w:id="102" w:name="_Toc152042315"/>
      <w:r>
        <w:rPr>
          <w:rFonts w:hint="eastAsia" w:ascii="宋体" w:hAnsi="宋体" w:cs="宋体"/>
          <w:b/>
          <w:bCs/>
        </w:rPr>
        <w:t>1.9 踏勘现场</w:t>
      </w:r>
      <w:bookmarkEnd w:id="97"/>
      <w:bookmarkEnd w:id="98"/>
      <w:bookmarkEnd w:id="99"/>
      <w:bookmarkEnd w:id="100"/>
      <w:bookmarkEnd w:id="101"/>
      <w:bookmarkEnd w:id="102"/>
    </w:p>
    <w:p w14:paraId="772189DE">
      <w:pPr>
        <w:spacing w:line="360" w:lineRule="auto"/>
        <w:ind w:firstLine="420" w:firstLineChars="200"/>
        <w:rPr>
          <w:rFonts w:ascii="宋体" w:hAnsi="宋体" w:cs="宋体"/>
          <w:bCs/>
        </w:rPr>
      </w:pPr>
      <w:r>
        <w:rPr>
          <w:rFonts w:hint="eastAsia" w:ascii="宋体" w:hAnsi="宋体" w:cs="宋体"/>
          <w:bCs/>
        </w:rPr>
        <w:t xml:space="preserve">1.9.1 投标人须知前附表规定组织踏勘现场的，招标人按投标人须知前附表规定的时间、地点组织投标人踏勘项目现场。 </w:t>
      </w:r>
    </w:p>
    <w:p w14:paraId="6EC66F6A">
      <w:pPr>
        <w:spacing w:line="360" w:lineRule="auto"/>
        <w:ind w:firstLine="420" w:firstLineChars="200"/>
        <w:rPr>
          <w:rFonts w:ascii="宋体" w:hAnsi="宋体" w:cs="宋体"/>
          <w:bCs/>
        </w:rPr>
      </w:pPr>
      <w:r>
        <w:rPr>
          <w:rFonts w:hint="eastAsia" w:ascii="宋体" w:hAnsi="宋体" w:cs="宋体"/>
          <w:bCs/>
        </w:rPr>
        <w:t>1.9.2 投标人踏勘现场发生的费用自理。</w:t>
      </w:r>
    </w:p>
    <w:p w14:paraId="01B06631">
      <w:pPr>
        <w:spacing w:line="360" w:lineRule="auto"/>
        <w:ind w:firstLine="420" w:firstLineChars="200"/>
        <w:rPr>
          <w:rFonts w:ascii="宋体" w:hAnsi="宋体" w:cs="宋体"/>
          <w:bCs/>
        </w:rPr>
      </w:pPr>
      <w:r>
        <w:rPr>
          <w:rFonts w:hint="eastAsia" w:ascii="宋体" w:hAnsi="宋体" w:cs="宋体"/>
          <w:bCs/>
        </w:rPr>
        <w:t>1.9.3 除招标人的原因外，投标人自行负责在踏勘现场中所发生的人员伤亡和财产损失等。</w:t>
      </w:r>
    </w:p>
    <w:p w14:paraId="198B04C0">
      <w:pPr>
        <w:spacing w:line="360" w:lineRule="auto"/>
        <w:ind w:firstLine="420" w:firstLineChars="200"/>
        <w:rPr>
          <w:rFonts w:ascii="宋体" w:hAnsi="宋体" w:cs="宋体"/>
          <w:bCs/>
        </w:rPr>
      </w:pPr>
      <w:r>
        <w:rPr>
          <w:rFonts w:hint="eastAsia" w:ascii="宋体" w:hAnsi="宋体" w:cs="宋体"/>
          <w:bCs/>
        </w:rPr>
        <w:t>1.9.4 招标人在踏勘现场中介绍的物业管理区内场地和相关的周边环境情况，供投标人在编制投标文件时参考，招标人不对投标人据此作出的判断和决策负责。</w:t>
      </w:r>
    </w:p>
    <w:p w14:paraId="45C14BF8">
      <w:pPr>
        <w:spacing w:line="360" w:lineRule="auto"/>
        <w:ind w:firstLine="420" w:firstLineChars="200"/>
        <w:outlineLvl w:val="2"/>
        <w:rPr>
          <w:rFonts w:ascii="宋体" w:hAnsi="宋体" w:cs="宋体"/>
          <w:b/>
          <w:bCs/>
        </w:rPr>
      </w:pPr>
      <w:bookmarkStart w:id="103" w:name="_Toc179632557"/>
      <w:bookmarkStart w:id="104" w:name="_Toc144974508"/>
      <w:bookmarkStart w:id="105" w:name="_Toc152045540"/>
      <w:bookmarkStart w:id="106" w:name="_Toc152042316"/>
      <w:bookmarkStart w:id="107" w:name="_Toc487461262"/>
      <w:bookmarkStart w:id="108" w:name="_Toc493081575"/>
      <w:r>
        <w:rPr>
          <w:rFonts w:hint="eastAsia" w:ascii="宋体" w:hAnsi="宋体" w:cs="宋体"/>
          <w:b/>
          <w:bCs/>
        </w:rPr>
        <w:t>1.10</w:t>
      </w:r>
      <w:bookmarkEnd w:id="103"/>
      <w:bookmarkEnd w:id="104"/>
      <w:bookmarkEnd w:id="105"/>
      <w:bookmarkEnd w:id="106"/>
      <w:bookmarkStart w:id="109" w:name="_Toc144974509"/>
      <w:bookmarkStart w:id="110" w:name="_Toc152042317"/>
      <w:bookmarkStart w:id="111" w:name="_Toc152045541"/>
      <w:bookmarkStart w:id="112" w:name="_Toc179632558"/>
      <w:r>
        <w:rPr>
          <w:rFonts w:hint="eastAsia" w:ascii="宋体" w:hAnsi="宋体" w:cs="宋体"/>
          <w:b/>
          <w:bCs/>
        </w:rPr>
        <w:t xml:space="preserve"> 投标预备会</w:t>
      </w:r>
      <w:bookmarkEnd w:id="107"/>
      <w:bookmarkEnd w:id="108"/>
    </w:p>
    <w:p w14:paraId="69C20BE0">
      <w:pPr>
        <w:spacing w:line="360" w:lineRule="auto"/>
        <w:ind w:firstLine="420" w:firstLineChars="200"/>
        <w:rPr>
          <w:rFonts w:ascii="宋体" w:hAnsi="宋体" w:cs="宋体"/>
          <w:bCs/>
        </w:rPr>
      </w:pPr>
      <w:r>
        <w:rPr>
          <w:rFonts w:hint="eastAsia" w:ascii="宋体" w:hAnsi="宋体" w:cs="宋体"/>
          <w:bCs/>
        </w:rPr>
        <w:t>1.10.1 投标人须知前附表规定召开投标预备会的，招标人按投标人须知前附表规定的时间和地点召开投标预备会，澄清投标人提出的问题。</w:t>
      </w:r>
    </w:p>
    <w:p w14:paraId="72F9ABAA">
      <w:pPr>
        <w:spacing w:line="360" w:lineRule="auto"/>
        <w:ind w:firstLine="420" w:firstLineChars="200"/>
        <w:rPr>
          <w:rFonts w:ascii="宋体" w:hAnsi="宋体" w:cs="宋体"/>
          <w:bCs/>
        </w:rPr>
      </w:pPr>
      <w:r>
        <w:rPr>
          <w:rFonts w:hint="eastAsia" w:ascii="宋体" w:hAnsi="宋体" w:cs="宋体"/>
          <w:bCs/>
        </w:rPr>
        <w:t>1.10.2 投标人应在投标人须知前附表规定的时间前，以书面形式将提出的问题送达招标人，以便招标人在会议期间澄清。</w:t>
      </w:r>
    </w:p>
    <w:p w14:paraId="34BE11BE">
      <w:pPr>
        <w:spacing w:line="360" w:lineRule="auto"/>
        <w:ind w:firstLine="420" w:firstLineChars="200"/>
        <w:rPr>
          <w:rFonts w:ascii="宋体" w:hAnsi="宋体" w:cs="宋体"/>
          <w:bCs/>
        </w:rPr>
      </w:pPr>
      <w:r>
        <w:rPr>
          <w:rFonts w:hint="eastAsia" w:ascii="宋体" w:hAnsi="宋体" w:cs="宋体"/>
          <w:bCs/>
        </w:rPr>
        <w:t>1.10.3 投标预备会后，招标人在投标人须知前附表规定的时间内，将对投标人所提问题的澄清，以书面方式通知所有购买</w:t>
      </w:r>
      <w:r>
        <w:rPr>
          <w:rFonts w:hint="eastAsia" w:ascii="宋体" w:hAnsi="宋体" w:cs="宋体"/>
          <w:bCs/>
          <w:lang w:eastAsia="zh-CN"/>
        </w:rPr>
        <w:t>遴选文件</w:t>
      </w:r>
      <w:r>
        <w:rPr>
          <w:rFonts w:hint="eastAsia" w:ascii="宋体" w:hAnsi="宋体" w:cs="宋体"/>
          <w:bCs/>
        </w:rPr>
        <w:t>的投标人或在发布招标公告的网站发布。该澄清内容为</w:t>
      </w:r>
      <w:r>
        <w:rPr>
          <w:rFonts w:hint="eastAsia" w:ascii="宋体" w:hAnsi="宋体" w:cs="宋体"/>
          <w:bCs/>
          <w:lang w:eastAsia="zh-CN"/>
        </w:rPr>
        <w:t>遴选文件</w:t>
      </w:r>
      <w:r>
        <w:rPr>
          <w:rFonts w:hint="eastAsia" w:ascii="宋体" w:hAnsi="宋体" w:cs="宋体"/>
          <w:bCs/>
        </w:rPr>
        <w:t>的组成部分。</w:t>
      </w:r>
    </w:p>
    <w:p w14:paraId="41C46E29">
      <w:pPr>
        <w:spacing w:line="360" w:lineRule="auto"/>
        <w:ind w:firstLine="420" w:firstLineChars="200"/>
        <w:outlineLvl w:val="2"/>
        <w:rPr>
          <w:rFonts w:ascii="宋体" w:hAnsi="宋体" w:cs="宋体"/>
          <w:b/>
          <w:bCs/>
        </w:rPr>
      </w:pPr>
      <w:bookmarkStart w:id="113" w:name="_Toc487461263"/>
      <w:bookmarkStart w:id="114" w:name="_Toc493081576"/>
      <w:r>
        <w:rPr>
          <w:rFonts w:hint="eastAsia" w:ascii="宋体" w:hAnsi="宋体" w:cs="宋体"/>
          <w:b/>
          <w:bCs/>
        </w:rPr>
        <w:t>1.11 分包</w:t>
      </w:r>
      <w:bookmarkEnd w:id="109"/>
      <w:bookmarkEnd w:id="110"/>
      <w:bookmarkEnd w:id="111"/>
      <w:bookmarkEnd w:id="112"/>
      <w:bookmarkEnd w:id="113"/>
      <w:bookmarkEnd w:id="114"/>
    </w:p>
    <w:p w14:paraId="0C78275E">
      <w:pPr>
        <w:spacing w:line="360" w:lineRule="auto"/>
        <w:ind w:firstLine="420" w:firstLineChars="200"/>
        <w:outlineLvl w:val="2"/>
        <w:rPr>
          <w:rFonts w:hint="eastAsia" w:ascii="宋体" w:hAnsi="宋体" w:eastAsia="宋体" w:cs="宋体"/>
          <w:lang w:eastAsia="zh-CN"/>
        </w:rPr>
      </w:pPr>
      <w:bookmarkStart w:id="115" w:name="_Toc179632559"/>
      <w:bookmarkStart w:id="116" w:name="_Toc487461264"/>
      <w:r>
        <w:rPr>
          <w:rFonts w:hint="eastAsia" w:ascii="宋体" w:hAnsi="宋体" w:cs="宋体"/>
          <w:lang w:eastAsia="zh-CN"/>
        </w:rPr>
        <w:t>投标人不得转包或违法分包。中标项目的非主体、非关键性工作，以及依法需由具备相应资质的单位实施的专业工程，经招标人书面同意，可以分包给具有相应资格条件的单位。分包单位不得再次分包。中标人就分包项目向招标人负责，分包单位就分包项目承担连带责任。</w:t>
      </w:r>
    </w:p>
    <w:p w14:paraId="3830605A">
      <w:pPr>
        <w:spacing w:line="360" w:lineRule="auto"/>
        <w:ind w:firstLine="420" w:firstLineChars="200"/>
        <w:outlineLvl w:val="2"/>
        <w:rPr>
          <w:rFonts w:ascii="宋体" w:hAnsi="宋体" w:cs="宋体"/>
          <w:b/>
          <w:bCs/>
        </w:rPr>
      </w:pPr>
      <w:bookmarkStart w:id="117" w:name="_Toc493081578"/>
      <w:r>
        <w:rPr>
          <w:rFonts w:hint="eastAsia" w:ascii="宋体" w:hAnsi="宋体" w:cs="宋体"/>
          <w:b/>
          <w:bCs/>
        </w:rPr>
        <w:t>1.12 偏离</w:t>
      </w:r>
      <w:bookmarkEnd w:id="115"/>
      <w:bookmarkEnd w:id="116"/>
      <w:bookmarkEnd w:id="117"/>
    </w:p>
    <w:p w14:paraId="4F4B092C">
      <w:pPr>
        <w:spacing w:line="360" w:lineRule="auto"/>
        <w:ind w:firstLine="210" w:firstLineChars="100"/>
        <w:outlineLvl w:val="1"/>
        <w:rPr>
          <w:rFonts w:ascii="宋体" w:hAnsi="宋体" w:cs="宋体"/>
        </w:rPr>
      </w:pPr>
      <w:bookmarkStart w:id="118" w:name="_Toc493081579"/>
      <w:bookmarkStart w:id="119" w:name="_Toc15381"/>
      <w:bookmarkStart w:id="120" w:name="_Toc487641632"/>
      <w:bookmarkStart w:id="121" w:name="_Toc487461265"/>
      <w:bookmarkStart w:id="122" w:name="_Toc144974510"/>
      <w:bookmarkStart w:id="123" w:name="_Toc152045542"/>
      <w:bookmarkStart w:id="124" w:name="_Toc152042318"/>
      <w:bookmarkStart w:id="125" w:name="_Toc3468"/>
      <w:bookmarkStart w:id="126" w:name="_Toc179632560"/>
      <w:r>
        <w:rPr>
          <w:rFonts w:hint="eastAsia" w:ascii="宋体" w:hAnsi="宋体" w:cs="宋体"/>
        </w:rPr>
        <w:t xml:space="preserve">   不允许</w:t>
      </w:r>
      <w:bookmarkEnd w:id="118"/>
      <w:bookmarkStart w:id="127" w:name="_Toc493081580"/>
    </w:p>
    <w:p w14:paraId="3EFF504C">
      <w:pPr>
        <w:spacing w:line="360" w:lineRule="auto"/>
        <w:ind w:firstLine="210" w:firstLineChars="100"/>
        <w:outlineLvl w:val="1"/>
        <w:rPr>
          <w:rFonts w:hint="eastAsia" w:ascii="宋体" w:hAnsi="宋体" w:eastAsia="宋体" w:cs="宋体"/>
          <w:b/>
          <w:bCs/>
          <w:lang w:eastAsia="zh-CN"/>
        </w:rPr>
      </w:pPr>
      <w:r>
        <w:rPr>
          <w:rFonts w:hint="eastAsia" w:ascii="宋体" w:hAnsi="宋体" w:cs="宋体"/>
          <w:b/>
          <w:bCs/>
        </w:rPr>
        <w:t xml:space="preserve">2. </w:t>
      </w:r>
      <w:bookmarkEnd w:id="119"/>
      <w:bookmarkEnd w:id="120"/>
      <w:bookmarkEnd w:id="121"/>
      <w:bookmarkEnd w:id="122"/>
      <w:bookmarkEnd w:id="123"/>
      <w:bookmarkEnd w:id="124"/>
      <w:bookmarkEnd w:id="125"/>
      <w:bookmarkEnd w:id="126"/>
      <w:bookmarkEnd w:id="127"/>
      <w:r>
        <w:rPr>
          <w:rFonts w:hint="eastAsia" w:ascii="宋体" w:hAnsi="宋体" w:cs="宋体"/>
          <w:b/>
          <w:bCs/>
          <w:lang w:eastAsia="zh-CN"/>
        </w:rPr>
        <w:t>遴选文件</w:t>
      </w:r>
    </w:p>
    <w:p w14:paraId="329D3B11">
      <w:pPr>
        <w:spacing w:line="360" w:lineRule="auto"/>
        <w:ind w:firstLine="420" w:firstLineChars="200"/>
        <w:outlineLvl w:val="2"/>
        <w:rPr>
          <w:rFonts w:ascii="宋体" w:hAnsi="宋体" w:cs="宋体"/>
          <w:b/>
          <w:bCs/>
        </w:rPr>
      </w:pPr>
      <w:bookmarkStart w:id="128" w:name="_Toc179632561"/>
      <w:bookmarkStart w:id="129" w:name="_Toc152042319"/>
      <w:bookmarkStart w:id="130" w:name="_Toc152045543"/>
      <w:bookmarkStart w:id="131" w:name="_Toc487461266"/>
      <w:bookmarkStart w:id="132" w:name="_Toc493081581"/>
      <w:bookmarkStart w:id="133" w:name="_Toc144974511"/>
      <w:r>
        <w:rPr>
          <w:rFonts w:hint="eastAsia" w:ascii="宋体" w:hAnsi="宋体" w:cs="宋体"/>
          <w:b/>
          <w:bCs/>
        </w:rPr>
        <w:t xml:space="preserve">2.1 </w:t>
      </w:r>
      <w:r>
        <w:rPr>
          <w:rFonts w:hint="eastAsia" w:ascii="宋体" w:hAnsi="宋体" w:cs="宋体"/>
          <w:b/>
          <w:bCs/>
          <w:lang w:eastAsia="zh-CN"/>
        </w:rPr>
        <w:t>遴选文件</w:t>
      </w:r>
      <w:r>
        <w:rPr>
          <w:rFonts w:hint="eastAsia" w:ascii="宋体" w:hAnsi="宋体" w:cs="宋体"/>
          <w:b/>
          <w:bCs/>
        </w:rPr>
        <w:t>的组成</w:t>
      </w:r>
      <w:bookmarkEnd w:id="128"/>
      <w:bookmarkEnd w:id="129"/>
      <w:bookmarkEnd w:id="130"/>
      <w:bookmarkEnd w:id="131"/>
      <w:bookmarkEnd w:id="132"/>
      <w:bookmarkEnd w:id="133"/>
    </w:p>
    <w:p w14:paraId="2944B37D">
      <w:pPr>
        <w:spacing w:line="360" w:lineRule="auto"/>
        <w:ind w:firstLine="420" w:firstLineChars="200"/>
        <w:rPr>
          <w:rFonts w:ascii="宋体" w:hAnsi="宋体" w:cs="宋体"/>
          <w:bCs/>
        </w:rPr>
      </w:pPr>
      <w:r>
        <w:rPr>
          <w:rFonts w:hint="eastAsia" w:ascii="宋体" w:hAnsi="宋体" w:cs="宋体"/>
          <w:bCs/>
        </w:rPr>
        <w:t>本</w:t>
      </w:r>
      <w:r>
        <w:rPr>
          <w:rFonts w:hint="eastAsia" w:ascii="宋体" w:hAnsi="宋体" w:cs="宋体"/>
          <w:bCs/>
          <w:lang w:eastAsia="zh-CN"/>
        </w:rPr>
        <w:t>遴选文件</w:t>
      </w:r>
      <w:r>
        <w:rPr>
          <w:rFonts w:hint="eastAsia" w:ascii="宋体" w:hAnsi="宋体" w:cs="宋体"/>
          <w:bCs/>
        </w:rPr>
        <w:t>包括：</w:t>
      </w:r>
    </w:p>
    <w:p w14:paraId="6FA17ADA">
      <w:pPr>
        <w:spacing w:line="360" w:lineRule="auto"/>
        <w:ind w:firstLine="420" w:firstLineChars="200"/>
        <w:rPr>
          <w:rFonts w:ascii="宋体" w:hAnsi="宋体" w:cs="宋体"/>
          <w:bCs/>
        </w:rPr>
      </w:pPr>
      <w:r>
        <w:rPr>
          <w:rFonts w:hint="eastAsia" w:ascii="宋体" w:hAnsi="宋体" w:cs="宋体"/>
          <w:bCs/>
        </w:rPr>
        <w:t>（1）招标公告；</w:t>
      </w:r>
    </w:p>
    <w:p w14:paraId="5B3E9DDF">
      <w:pPr>
        <w:spacing w:line="360" w:lineRule="auto"/>
        <w:ind w:firstLine="420" w:firstLineChars="200"/>
        <w:rPr>
          <w:rFonts w:ascii="宋体" w:hAnsi="宋体" w:cs="宋体"/>
          <w:bCs/>
        </w:rPr>
      </w:pPr>
      <w:r>
        <w:rPr>
          <w:rFonts w:hint="eastAsia" w:ascii="宋体" w:hAnsi="宋体" w:cs="宋体"/>
          <w:bCs/>
        </w:rPr>
        <w:t>（2）投标人须知；</w:t>
      </w:r>
    </w:p>
    <w:p w14:paraId="319AF6E7">
      <w:pPr>
        <w:spacing w:line="360" w:lineRule="auto"/>
        <w:ind w:firstLine="420" w:firstLineChars="200"/>
        <w:rPr>
          <w:rFonts w:ascii="宋体" w:hAnsi="宋体" w:cs="宋体"/>
          <w:bCs/>
        </w:rPr>
      </w:pPr>
      <w:r>
        <w:rPr>
          <w:rFonts w:hint="eastAsia" w:ascii="宋体" w:hAnsi="宋体" w:cs="宋体"/>
          <w:bCs/>
        </w:rPr>
        <w:t>（3）评标办法；</w:t>
      </w:r>
    </w:p>
    <w:p w14:paraId="04F92407">
      <w:pPr>
        <w:spacing w:line="360" w:lineRule="auto"/>
        <w:ind w:firstLine="420" w:firstLineChars="200"/>
        <w:rPr>
          <w:rFonts w:ascii="宋体" w:hAnsi="宋体" w:cs="宋体"/>
          <w:bCs/>
        </w:rPr>
      </w:pPr>
      <w:r>
        <w:rPr>
          <w:rFonts w:hint="eastAsia" w:ascii="宋体" w:hAnsi="宋体" w:cs="宋体"/>
          <w:bCs/>
        </w:rPr>
        <w:t>（4）合同条款及格式；</w:t>
      </w:r>
    </w:p>
    <w:p w14:paraId="50D3F346">
      <w:pPr>
        <w:spacing w:line="360" w:lineRule="auto"/>
        <w:ind w:firstLine="420" w:firstLineChars="200"/>
        <w:rPr>
          <w:rFonts w:ascii="宋体" w:hAnsi="宋体" w:cs="宋体"/>
          <w:bCs/>
        </w:rPr>
      </w:pPr>
      <w:r>
        <w:rPr>
          <w:rFonts w:hint="eastAsia" w:ascii="宋体" w:hAnsi="宋体" w:cs="宋体"/>
          <w:bCs/>
        </w:rPr>
        <w:t>（5）投标文件格式；</w:t>
      </w:r>
    </w:p>
    <w:p w14:paraId="6FBA5484">
      <w:pPr>
        <w:spacing w:line="360" w:lineRule="auto"/>
        <w:ind w:firstLine="420" w:firstLineChars="200"/>
        <w:rPr>
          <w:rFonts w:ascii="宋体" w:hAnsi="宋体" w:cs="宋体"/>
          <w:bCs/>
        </w:rPr>
      </w:pPr>
      <w:bookmarkStart w:id="134" w:name="_Toc152042320"/>
      <w:bookmarkStart w:id="135" w:name="_Toc179632562"/>
      <w:bookmarkStart w:id="136" w:name="_Toc144974512"/>
      <w:bookmarkStart w:id="137" w:name="_Toc152045544"/>
      <w:bookmarkStart w:id="138" w:name="_Toc144974514"/>
      <w:bookmarkStart w:id="139" w:name="_Toc152045546"/>
      <w:bookmarkStart w:id="140" w:name="_Toc152042322"/>
      <w:bookmarkStart w:id="141" w:name="_Toc179632564"/>
      <w:r>
        <w:rPr>
          <w:rFonts w:hint="eastAsia" w:ascii="宋体" w:hAnsi="宋体" w:cs="宋体"/>
          <w:bCs/>
        </w:rPr>
        <w:t xml:space="preserve"> 根据本章第1.10款、第2.2款、第2.3款是对</w:t>
      </w:r>
      <w:r>
        <w:rPr>
          <w:rFonts w:hint="eastAsia" w:ascii="宋体" w:hAnsi="宋体" w:cs="宋体"/>
          <w:bCs/>
          <w:lang w:eastAsia="zh-CN"/>
        </w:rPr>
        <w:t>遴选文件</w:t>
      </w:r>
      <w:r>
        <w:rPr>
          <w:rFonts w:hint="eastAsia" w:ascii="宋体" w:hAnsi="宋体" w:cs="宋体"/>
          <w:bCs/>
        </w:rPr>
        <w:t>所作的澄清、修改，构成</w:t>
      </w:r>
      <w:r>
        <w:rPr>
          <w:rFonts w:hint="eastAsia" w:ascii="宋体" w:hAnsi="宋体" w:cs="宋体"/>
          <w:bCs/>
          <w:lang w:eastAsia="zh-CN"/>
        </w:rPr>
        <w:t>遴选文件</w:t>
      </w:r>
      <w:r>
        <w:rPr>
          <w:rFonts w:hint="eastAsia" w:ascii="宋体" w:hAnsi="宋体" w:cs="宋体"/>
          <w:bCs/>
        </w:rPr>
        <w:t xml:space="preserve">的组成部分, </w:t>
      </w:r>
      <w:r>
        <w:rPr>
          <w:rFonts w:hint="eastAsia" w:ascii="宋体" w:hAnsi="宋体" w:cs="宋体"/>
          <w:bCs/>
          <w:lang w:eastAsia="zh-CN"/>
        </w:rPr>
        <w:t>遴选文件</w:t>
      </w:r>
      <w:r>
        <w:rPr>
          <w:rFonts w:hint="eastAsia" w:ascii="宋体" w:hAnsi="宋体" w:cs="宋体"/>
          <w:bCs/>
        </w:rPr>
        <w:t>及</w:t>
      </w:r>
      <w:r>
        <w:rPr>
          <w:rFonts w:hint="eastAsia" w:ascii="宋体" w:hAnsi="宋体" w:cs="宋体"/>
          <w:bCs/>
          <w:lang w:eastAsia="zh-CN"/>
        </w:rPr>
        <w:t>遴选文件</w:t>
      </w:r>
      <w:r>
        <w:rPr>
          <w:rFonts w:hint="eastAsia" w:ascii="宋体" w:hAnsi="宋体" w:cs="宋体"/>
          <w:bCs/>
        </w:rPr>
        <w:t>的澄清、修改前后不一致的，以最后发出的为准。</w:t>
      </w:r>
    </w:p>
    <w:p w14:paraId="2B8D14B5">
      <w:pPr>
        <w:spacing w:line="360" w:lineRule="auto"/>
        <w:ind w:firstLine="420" w:firstLineChars="200"/>
        <w:outlineLvl w:val="2"/>
        <w:rPr>
          <w:rFonts w:ascii="宋体" w:hAnsi="宋体" w:cs="宋体"/>
          <w:b/>
          <w:bCs/>
        </w:rPr>
      </w:pPr>
      <w:bookmarkStart w:id="142" w:name="_Toc493081582"/>
      <w:bookmarkStart w:id="143" w:name="_Toc487461267"/>
      <w:r>
        <w:rPr>
          <w:rFonts w:hint="eastAsia" w:ascii="宋体" w:hAnsi="宋体" w:cs="宋体"/>
          <w:b/>
          <w:bCs/>
        </w:rPr>
        <w:t xml:space="preserve">2.2 </w:t>
      </w:r>
      <w:r>
        <w:rPr>
          <w:rFonts w:hint="eastAsia" w:ascii="宋体" w:hAnsi="宋体" w:cs="宋体"/>
          <w:b/>
          <w:bCs/>
          <w:lang w:eastAsia="zh-CN"/>
        </w:rPr>
        <w:t>遴选文件</w:t>
      </w:r>
      <w:r>
        <w:rPr>
          <w:rFonts w:hint="eastAsia" w:ascii="宋体" w:hAnsi="宋体" w:cs="宋体"/>
          <w:b/>
          <w:bCs/>
        </w:rPr>
        <w:t>的</w:t>
      </w:r>
      <w:bookmarkEnd w:id="134"/>
      <w:bookmarkEnd w:id="135"/>
      <w:bookmarkEnd w:id="136"/>
      <w:bookmarkEnd w:id="137"/>
      <w:r>
        <w:rPr>
          <w:rFonts w:hint="eastAsia" w:ascii="宋体" w:hAnsi="宋体" w:cs="宋体"/>
          <w:b/>
          <w:bCs/>
        </w:rPr>
        <w:t>异议答复</w:t>
      </w:r>
      <w:bookmarkEnd w:id="142"/>
      <w:bookmarkEnd w:id="143"/>
    </w:p>
    <w:p w14:paraId="61549B33">
      <w:pPr>
        <w:spacing w:line="360" w:lineRule="auto"/>
        <w:ind w:firstLine="420" w:firstLineChars="200"/>
        <w:rPr>
          <w:rFonts w:ascii="宋体" w:hAnsi="宋体" w:cs="宋体"/>
          <w:bCs/>
        </w:rPr>
      </w:pPr>
      <w:bookmarkStart w:id="144" w:name="_Toc179632563"/>
      <w:bookmarkStart w:id="145" w:name="_Toc144974513"/>
      <w:bookmarkStart w:id="146" w:name="_Toc152042321"/>
      <w:bookmarkStart w:id="147" w:name="_Toc152045545"/>
      <w:r>
        <w:rPr>
          <w:rFonts w:hint="eastAsia" w:ascii="宋体" w:hAnsi="宋体" w:cs="宋体"/>
          <w:bCs/>
        </w:rPr>
        <w:t>（1）见投标人须知前附表</w:t>
      </w:r>
    </w:p>
    <w:p w14:paraId="636584D2">
      <w:pPr>
        <w:spacing w:after="120" w:line="360" w:lineRule="auto"/>
        <w:ind w:firstLine="420"/>
        <w:rPr>
          <w:rFonts w:ascii="宋体" w:hAnsi="宋体" w:cs="宋体"/>
          <w:bCs/>
        </w:rPr>
      </w:pPr>
      <w:r>
        <w:rPr>
          <w:rFonts w:hint="eastAsia" w:ascii="宋体" w:hAnsi="宋体" w:cs="宋体"/>
          <w:bCs/>
        </w:rPr>
        <w:t>（2）投标人获取</w:t>
      </w:r>
      <w:r>
        <w:rPr>
          <w:rFonts w:hint="eastAsia" w:ascii="宋体" w:hAnsi="宋体" w:cs="宋体"/>
          <w:bCs/>
          <w:lang w:eastAsia="zh-CN"/>
        </w:rPr>
        <w:t>遴选文件</w:t>
      </w:r>
      <w:r>
        <w:rPr>
          <w:rFonts w:hint="eastAsia" w:ascii="宋体" w:hAnsi="宋体" w:cs="宋体"/>
          <w:bCs/>
        </w:rPr>
        <w:t>后，应仔细检查</w:t>
      </w:r>
      <w:r>
        <w:rPr>
          <w:rFonts w:hint="eastAsia" w:ascii="宋体" w:hAnsi="宋体" w:cs="宋体"/>
          <w:bCs/>
          <w:lang w:eastAsia="zh-CN"/>
        </w:rPr>
        <w:t>遴选文件</w:t>
      </w:r>
      <w:r>
        <w:rPr>
          <w:rFonts w:hint="eastAsia" w:ascii="宋体" w:hAnsi="宋体" w:cs="宋体"/>
          <w:bCs/>
        </w:rPr>
        <w:t>的所有内容，如有残缺等问题应在招标公告发出之日起</w:t>
      </w:r>
      <w:r>
        <w:rPr>
          <w:rFonts w:hint="eastAsia" w:ascii="宋体" w:hAnsi="宋体" w:cs="宋体"/>
          <w:bCs/>
          <w:lang w:val="en-US" w:eastAsia="zh-CN"/>
        </w:rPr>
        <w:t>3</w:t>
      </w:r>
      <w:r>
        <w:rPr>
          <w:rFonts w:hint="eastAsia" w:ascii="宋体" w:hAnsi="宋体" w:cs="宋体"/>
          <w:bCs/>
        </w:rPr>
        <w:t>个工作日内提出，否则，由此引起的损失由投标人自行承担。</w:t>
      </w:r>
      <w:bookmarkStart w:id="148" w:name="_Toc493081583"/>
      <w:bookmarkStart w:id="149" w:name="_Toc487461268"/>
    </w:p>
    <w:p w14:paraId="1085E777">
      <w:pPr>
        <w:spacing w:after="120" w:line="360" w:lineRule="auto"/>
        <w:ind w:firstLine="420"/>
        <w:rPr>
          <w:rFonts w:ascii="宋体" w:hAnsi="宋体" w:cs="宋体"/>
          <w:b/>
          <w:bCs/>
        </w:rPr>
      </w:pPr>
      <w:r>
        <w:rPr>
          <w:rFonts w:hint="eastAsia" w:ascii="宋体" w:hAnsi="宋体" w:cs="宋体"/>
          <w:b/>
          <w:bCs/>
        </w:rPr>
        <w:t xml:space="preserve">2.3 </w:t>
      </w:r>
      <w:r>
        <w:rPr>
          <w:rFonts w:hint="eastAsia" w:ascii="宋体" w:hAnsi="宋体" w:cs="宋体"/>
          <w:b/>
          <w:bCs/>
          <w:lang w:eastAsia="zh-CN"/>
        </w:rPr>
        <w:t>遴选文件</w:t>
      </w:r>
      <w:r>
        <w:rPr>
          <w:rFonts w:hint="eastAsia" w:ascii="宋体" w:hAnsi="宋体" w:cs="宋体"/>
          <w:b/>
          <w:bCs/>
        </w:rPr>
        <w:t>的澄清及修改</w:t>
      </w:r>
      <w:bookmarkEnd w:id="144"/>
      <w:bookmarkEnd w:id="145"/>
      <w:bookmarkEnd w:id="146"/>
      <w:bookmarkEnd w:id="147"/>
      <w:bookmarkEnd w:id="148"/>
      <w:bookmarkEnd w:id="149"/>
    </w:p>
    <w:p w14:paraId="50BB8B26">
      <w:pPr>
        <w:spacing w:after="120" w:line="360" w:lineRule="auto"/>
        <w:ind w:firstLine="420"/>
        <w:rPr>
          <w:rFonts w:ascii="宋体" w:hAnsi="宋体" w:cs="宋体"/>
          <w:bCs/>
        </w:rPr>
      </w:pPr>
      <w:r>
        <w:rPr>
          <w:rFonts w:hint="eastAsia" w:ascii="宋体" w:hAnsi="宋体" w:cs="宋体"/>
          <w:bCs/>
        </w:rPr>
        <w:t>见投标人须知前附表</w:t>
      </w:r>
      <w:bookmarkStart w:id="150" w:name="_Toc487461269"/>
      <w:bookmarkStart w:id="151" w:name="_Toc4341"/>
      <w:bookmarkStart w:id="152" w:name="_Toc493081584"/>
      <w:bookmarkStart w:id="153" w:name="_Toc8528"/>
      <w:bookmarkStart w:id="154" w:name="_Toc487641633"/>
    </w:p>
    <w:p w14:paraId="61DB10D2">
      <w:pPr>
        <w:spacing w:after="120" w:line="360" w:lineRule="auto"/>
        <w:rPr>
          <w:rFonts w:ascii="宋体" w:hAnsi="宋体" w:cs="宋体"/>
          <w:b/>
          <w:bCs/>
        </w:rPr>
      </w:pPr>
      <w:r>
        <w:rPr>
          <w:rFonts w:hint="eastAsia" w:ascii="宋体" w:hAnsi="宋体" w:cs="宋体"/>
          <w:b/>
          <w:bCs/>
        </w:rPr>
        <w:t>3. 投标文件</w:t>
      </w:r>
      <w:bookmarkEnd w:id="138"/>
      <w:bookmarkEnd w:id="139"/>
      <w:bookmarkEnd w:id="140"/>
      <w:bookmarkEnd w:id="141"/>
      <w:bookmarkEnd w:id="150"/>
      <w:bookmarkEnd w:id="151"/>
      <w:bookmarkEnd w:id="152"/>
      <w:bookmarkEnd w:id="153"/>
      <w:bookmarkEnd w:id="154"/>
    </w:p>
    <w:p w14:paraId="3287D734">
      <w:pPr>
        <w:spacing w:line="360" w:lineRule="auto"/>
        <w:ind w:firstLine="420" w:firstLineChars="200"/>
        <w:outlineLvl w:val="2"/>
        <w:rPr>
          <w:rFonts w:ascii="宋体" w:hAnsi="宋体" w:cs="宋体"/>
          <w:bCs/>
        </w:rPr>
      </w:pPr>
      <w:bookmarkStart w:id="155" w:name="_Toc487461270"/>
      <w:bookmarkStart w:id="156" w:name="_Toc493081585"/>
      <w:r>
        <w:rPr>
          <w:rFonts w:hint="eastAsia" w:ascii="宋体" w:hAnsi="宋体" w:cs="宋体"/>
          <w:b/>
          <w:bCs/>
        </w:rPr>
        <w:t>3.1</w:t>
      </w:r>
      <w:bookmarkEnd w:id="155"/>
      <w:bookmarkEnd w:id="156"/>
      <w:r>
        <w:rPr>
          <w:rFonts w:hint="eastAsia" w:ascii="宋体" w:hAnsi="宋体" w:cs="宋体"/>
          <w:bCs/>
        </w:rPr>
        <w:t xml:space="preserve">投标人须知前附表规定不接受联合体投标的或如投标人的法定代表人投标，不需授权委托书，投标文件不包括本章第3.1.1（1）目所指的授权委托书。 </w:t>
      </w:r>
    </w:p>
    <w:p w14:paraId="3A5E0D80">
      <w:pPr>
        <w:spacing w:line="360" w:lineRule="auto"/>
        <w:ind w:firstLine="420" w:firstLineChars="200"/>
        <w:outlineLvl w:val="2"/>
        <w:rPr>
          <w:rFonts w:ascii="宋体" w:hAnsi="宋体" w:cs="宋体"/>
          <w:b/>
          <w:bCs/>
        </w:rPr>
      </w:pPr>
      <w:bookmarkStart w:id="157" w:name="_Toc487461271"/>
      <w:bookmarkStart w:id="158" w:name="_Toc493081586"/>
      <w:bookmarkStart w:id="159" w:name="_Toc179632566"/>
      <w:bookmarkStart w:id="160" w:name="_Toc152045548"/>
      <w:bookmarkStart w:id="161" w:name="_Toc144974516"/>
      <w:bookmarkStart w:id="162" w:name="_Toc152042324"/>
      <w:r>
        <w:rPr>
          <w:rFonts w:hint="eastAsia" w:ascii="宋体" w:hAnsi="宋体" w:cs="宋体"/>
          <w:b/>
          <w:bCs/>
        </w:rPr>
        <w:t>3.2 投标报价</w:t>
      </w:r>
      <w:bookmarkEnd w:id="157"/>
      <w:bookmarkEnd w:id="158"/>
      <w:bookmarkEnd w:id="159"/>
      <w:bookmarkEnd w:id="160"/>
      <w:bookmarkEnd w:id="161"/>
      <w:bookmarkEnd w:id="162"/>
    </w:p>
    <w:p w14:paraId="6C9BB345">
      <w:pPr>
        <w:spacing w:line="360" w:lineRule="auto"/>
        <w:ind w:firstLine="420" w:firstLineChars="200"/>
        <w:rPr>
          <w:rFonts w:ascii="宋体" w:hAnsi="宋体" w:cs="宋体"/>
        </w:rPr>
      </w:pPr>
      <w:r>
        <w:rPr>
          <w:rFonts w:hint="eastAsia" w:ascii="宋体" w:hAnsi="宋体" w:cs="宋体"/>
          <w:bCs/>
        </w:rPr>
        <w:t>3.2.1  投标报价应包含完成</w:t>
      </w:r>
      <w:r>
        <w:rPr>
          <w:rFonts w:hint="eastAsia" w:ascii="宋体" w:hAnsi="宋体" w:cs="宋体"/>
        </w:rPr>
        <w:t>本项目招标范围</w:t>
      </w:r>
      <w:r>
        <w:rPr>
          <w:rFonts w:hint="eastAsia" w:ascii="宋体" w:hAnsi="宋体" w:cs="宋体"/>
          <w:kern w:val="0"/>
        </w:rPr>
        <w:t>所需的一切费用</w:t>
      </w:r>
      <w:r>
        <w:rPr>
          <w:rFonts w:hint="eastAsia" w:ascii="宋体" w:hAnsi="宋体" w:cs="宋体"/>
        </w:rPr>
        <w:t>：</w:t>
      </w:r>
    </w:p>
    <w:p w14:paraId="768EB971">
      <w:pPr>
        <w:spacing w:line="360" w:lineRule="auto"/>
        <w:ind w:firstLine="420" w:firstLineChars="200"/>
        <w:rPr>
          <w:rFonts w:ascii="宋体" w:hAnsi="宋体" w:cs="宋体"/>
          <w:b/>
          <w:bCs/>
        </w:rPr>
      </w:pPr>
      <w:r>
        <w:rPr>
          <w:rFonts w:hint="eastAsia" w:ascii="宋体" w:hAnsi="宋体" w:cs="宋体"/>
          <w:bCs/>
        </w:rPr>
        <w:t>3.2.2  投标报价应按照第六章所给出的格式进行填写。</w:t>
      </w:r>
    </w:p>
    <w:p w14:paraId="425C92F0">
      <w:pPr>
        <w:spacing w:line="360" w:lineRule="auto"/>
        <w:ind w:firstLine="420" w:firstLineChars="200"/>
        <w:rPr>
          <w:rFonts w:ascii="宋体" w:hAnsi="宋体" w:cs="宋体"/>
          <w:bCs/>
        </w:rPr>
      </w:pPr>
      <w:r>
        <w:rPr>
          <w:rFonts w:hint="eastAsia" w:ascii="宋体" w:hAnsi="宋体" w:cs="宋体"/>
          <w:bCs/>
        </w:rPr>
        <w:t>3.2.3  在投标人须知前附表规定的投标有效期内，投标人不得要求撤销或修改其投标文件。</w:t>
      </w:r>
    </w:p>
    <w:p w14:paraId="2A78075A">
      <w:pPr>
        <w:spacing w:line="360" w:lineRule="auto"/>
        <w:ind w:firstLine="420" w:firstLineChars="200"/>
        <w:rPr>
          <w:rFonts w:ascii="宋体" w:hAnsi="宋体" w:cs="宋体"/>
          <w:bCs/>
        </w:rPr>
      </w:pPr>
      <w:r>
        <w:rPr>
          <w:rFonts w:hint="eastAsia" w:ascii="宋体" w:hAnsi="宋体" w:cs="宋体"/>
          <w:bCs/>
        </w:rPr>
        <w:t xml:space="preserve">3.2.4  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14:paraId="671CFC44">
      <w:pPr>
        <w:spacing w:line="360" w:lineRule="auto"/>
        <w:ind w:firstLine="420" w:firstLineChars="200"/>
        <w:outlineLvl w:val="2"/>
        <w:rPr>
          <w:rFonts w:ascii="宋体" w:hAnsi="宋体" w:cs="宋体"/>
          <w:b/>
          <w:bCs/>
        </w:rPr>
      </w:pPr>
      <w:bookmarkStart w:id="163" w:name="_Toc144974521"/>
      <w:bookmarkStart w:id="164" w:name="_Toc152045553"/>
      <w:bookmarkStart w:id="165" w:name="_Toc152042329"/>
      <w:bookmarkStart w:id="166" w:name="_Toc487461275"/>
      <w:bookmarkStart w:id="167" w:name="_Toc179632571"/>
      <w:bookmarkStart w:id="168" w:name="_Toc493081590"/>
      <w:r>
        <w:rPr>
          <w:rFonts w:hint="eastAsia" w:ascii="宋体" w:hAnsi="宋体" w:cs="宋体"/>
          <w:b/>
          <w:bCs/>
        </w:rPr>
        <w:t>3.</w:t>
      </w:r>
      <w:r>
        <w:rPr>
          <w:rFonts w:ascii="宋体" w:hAnsi="宋体" w:cs="宋体"/>
          <w:b/>
          <w:bCs/>
        </w:rPr>
        <w:t>3</w:t>
      </w:r>
      <w:r>
        <w:rPr>
          <w:rFonts w:hint="eastAsia" w:ascii="宋体" w:hAnsi="宋体" w:cs="宋体"/>
          <w:b/>
          <w:bCs/>
        </w:rPr>
        <w:t xml:space="preserve"> 备选投标方案</w:t>
      </w:r>
      <w:bookmarkEnd w:id="163"/>
      <w:bookmarkEnd w:id="164"/>
      <w:bookmarkEnd w:id="165"/>
      <w:bookmarkEnd w:id="166"/>
      <w:bookmarkEnd w:id="167"/>
      <w:bookmarkEnd w:id="168"/>
    </w:p>
    <w:p w14:paraId="1BD6F13A">
      <w:pPr>
        <w:spacing w:line="360" w:lineRule="auto"/>
        <w:ind w:firstLine="420" w:firstLineChars="200"/>
        <w:rPr>
          <w:rFonts w:ascii="宋体" w:hAnsi="宋体" w:cs="宋体"/>
        </w:rPr>
      </w:pPr>
      <w:r>
        <w:rPr>
          <w:rFonts w:hint="eastAsia" w:ascii="宋体" w:hAnsi="宋体" w:cs="宋体"/>
        </w:rPr>
        <w:t>除投标人须知前附表另有规定外，投标人不得递交备选投标方案。允许投标人递交备选投标方案的，只有中标人所递交的备选投标方案方可予以考虑。评标委员会认为中标人的备选投标方案优于其按照</w:t>
      </w:r>
      <w:r>
        <w:rPr>
          <w:rFonts w:hint="eastAsia" w:ascii="宋体" w:hAnsi="宋体" w:cs="宋体"/>
          <w:lang w:eastAsia="zh-CN"/>
        </w:rPr>
        <w:t>遴选文件</w:t>
      </w:r>
      <w:r>
        <w:rPr>
          <w:rFonts w:hint="eastAsia" w:ascii="宋体" w:hAnsi="宋体" w:cs="宋体"/>
        </w:rPr>
        <w:t>要求编制的投标方案的，招标人可以接受该备选投标方案。</w:t>
      </w:r>
    </w:p>
    <w:p w14:paraId="0FC93DAE">
      <w:pPr>
        <w:pStyle w:val="18"/>
        <w:spacing w:line="360" w:lineRule="auto"/>
        <w:ind w:left="0" w:leftChars="0" w:firstLine="422"/>
        <w:rPr>
          <w:rFonts w:ascii="宋体" w:hAnsi="宋体" w:cs="宋体"/>
          <w:b/>
          <w:bCs/>
        </w:rPr>
      </w:pPr>
      <w:bookmarkStart w:id="169" w:name="_Toc178"/>
      <w:bookmarkStart w:id="170" w:name="_Toc152045562"/>
      <w:bookmarkStart w:id="171" w:name="_Toc487641636"/>
      <w:bookmarkStart w:id="172" w:name="_Toc152042338"/>
      <w:bookmarkStart w:id="173" w:name="_Toc144974530"/>
      <w:bookmarkStart w:id="174" w:name="_Toc493081599"/>
      <w:bookmarkStart w:id="175" w:name="_Toc487461285"/>
      <w:bookmarkStart w:id="176" w:name="_Toc1780"/>
      <w:bookmarkStart w:id="177" w:name="_Toc179632580"/>
      <w:r>
        <w:rPr>
          <w:rFonts w:hint="eastAsia" w:ascii="宋体" w:hAnsi="宋体" w:cs="宋体"/>
          <w:b/>
          <w:bCs/>
        </w:rPr>
        <w:t>3.</w:t>
      </w:r>
      <w:r>
        <w:rPr>
          <w:rFonts w:ascii="宋体" w:hAnsi="宋体" w:cs="宋体"/>
          <w:b/>
          <w:bCs/>
        </w:rPr>
        <w:t>4</w:t>
      </w:r>
      <w:r>
        <w:rPr>
          <w:rFonts w:hint="eastAsia" w:ascii="宋体" w:hAnsi="宋体" w:cs="宋体"/>
          <w:b/>
          <w:bCs/>
        </w:rPr>
        <w:t xml:space="preserve"> 投标文件的编制</w:t>
      </w:r>
    </w:p>
    <w:p w14:paraId="26215ECF">
      <w:pPr>
        <w:pStyle w:val="18"/>
        <w:spacing w:line="360" w:lineRule="auto"/>
        <w:ind w:left="0" w:leftChars="0"/>
        <w:rPr>
          <w:rFonts w:ascii="宋体" w:hAnsi="宋体" w:cs="宋体"/>
        </w:rPr>
      </w:pPr>
      <w:r>
        <w:rPr>
          <w:rFonts w:hint="eastAsia" w:ascii="宋体" w:hAnsi="宋体" w:cs="宋体"/>
        </w:rPr>
        <w:t>3.</w:t>
      </w:r>
      <w:r>
        <w:rPr>
          <w:rFonts w:ascii="宋体" w:hAnsi="宋体" w:cs="宋体"/>
        </w:rPr>
        <w:t>4</w:t>
      </w:r>
      <w:r>
        <w:rPr>
          <w:rFonts w:hint="eastAsia" w:ascii="宋体" w:hAnsi="宋体" w:cs="宋体"/>
        </w:rPr>
        <w:t xml:space="preserve">.1 本项目要求提供电子投标文件，投标文件的制作应满足以下规定： </w:t>
      </w:r>
    </w:p>
    <w:p w14:paraId="1B4A4427">
      <w:pPr>
        <w:pStyle w:val="18"/>
        <w:spacing w:line="360" w:lineRule="auto"/>
        <w:rPr>
          <w:rFonts w:ascii="宋体" w:hAnsi="宋体" w:cs="宋体"/>
        </w:rPr>
      </w:pPr>
      <w:r>
        <w:rPr>
          <w:rFonts w:hint="eastAsia" w:ascii="宋体" w:hAnsi="宋体" w:cs="宋体"/>
        </w:rPr>
        <w:t>（1） 投标人必须按</w:t>
      </w:r>
      <w:r>
        <w:rPr>
          <w:rFonts w:hint="eastAsia" w:ascii="宋体" w:hAnsi="宋体" w:cs="宋体"/>
          <w:lang w:eastAsia="zh-CN"/>
        </w:rPr>
        <w:t>遴选文件</w:t>
      </w:r>
      <w:r>
        <w:rPr>
          <w:rFonts w:hint="eastAsia" w:ascii="宋体" w:hAnsi="宋体" w:cs="宋体"/>
        </w:rPr>
        <w:t>规定和上述主要内容编制投标文件。</w:t>
      </w:r>
    </w:p>
    <w:p w14:paraId="3B57E8E8">
      <w:pPr>
        <w:pStyle w:val="18"/>
        <w:spacing w:line="360" w:lineRule="auto"/>
        <w:rPr>
          <w:rFonts w:ascii="宋体" w:hAnsi="宋体" w:cs="宋体"/>
        </w:rPr>
      </w:pPr>
      <w:r>
        <w:rPr>
          <w:rFonts w:hint="eastAsia" w:ascii="宋体" w:hAnsi="宋体" w:cs="宋体"/>
        </w:rPr>
        <w:t>（2） 投标文件及投标人和项目招标人就招投标交换的文件和来往的信件应以中文书写。</w:t>
      </w:r>
    </w:p>
    <w:p w14:paraId="6EEDBE8E">
      <w:pPr>
        <w:pStyle w:val="18"/>
        <w:spacing w:line="360" w:lineRule="auto"/>
        <w:rPr>
          <w:rFonts w:ascii="宋体" w:hAnsi="宋体" w:cs="宋体"/>
        </w:rPr>
      </w:pPr>
      <w:r>
        <w:rPr>
          <w:rFonts w:hint="eastAsia" w:ascii="宋体" w:hAnsi="宋体" w:cs="宋体"/>
        </w:rPr>
        <w:t>（3） 因投标人自身原因而导致投标文件无法提交，该投标文件视为无效投标文件，投标人自行承担由此导致的全部责任。</w:t>
      </w:r>
    </w:p>
    <w:p w14:paraId="4F96B2CA">
      <w:pPr>
        <w:pStyle w:val="18"/>
        <w:spacing w:line="360" w:lineRule="auto"/>
        <w:rPr>
          <w:rFonts w:ascii="宋体" w:hAnsi="宋体" w:cs="宋体"/>
        </w:rPr>
      </w:pPr>
      <w:r>
        <w:rPr>
          <w:rFonts w:hint="eastAsia" w:ascii="宋体" w:hAnsi="宋体" w:cs="宋体"/>
        </w:rPr>
        <w:t>（4） 投标人必须用黑墨水填写或打印投标文件及有关文件。凡属对</w:t>
      </w:r>
      <w:r>
        <w:rPr>
          <w:rFonts w:hint="eastAsia" w:ascii="宋体" w:hAnsi="宋体" w:cs="宋体"/>
          <w:lang w:eastAsia="zh-CN"/>
        </w:rPr>
        <w:t>遴选文件</w:t>
      </w:r>
      <w:r>
        <w:rPr>
          <w:rFonts w:hint="eastAsia" w:ascii="宋体" w:hAnsi="宋体" w:cs="宋体"/>
        </w:rPr>
        <w:t>条款的误解所造成的投标文件失误，由投标人自行负责；如投标人未按</w:t>
      </w:r>
      <w:r>
        <w:rPr>
          <w:rFonts w:hint="eastAsia" w:ascii="宋体" w:hAnsi="宋体" w:cs="宋体"/>
          <w:lang w:eastAsia="zh-CN"/>
        </w:rPr>
        <w:t>遴选文件</w:t>
      </w:r>
      <w:r>
        <w:rPr>
          <w:rFonts w:hint="eastAsia" w:ascii="宋体" w:hAnsi="宋体" w:cs="宋体"/>
        </w:rPr>
        <w:t>要求提供全部资料或提交的投标文件未对</w:t>
      </w:r>
      <w:r>
        <w:rPr>
          <w:rFonts w:hint="eastAsia" w:ascii="宋体" w:hAnsi="宋体" w:cs="宋体"/>
          <w:lang w:eastAsia="zh-CN"/>
        </w:rPr>
        <w:t>遴选文件</w:t>
      </w:r>
      <w:r>
        <w:rPr>
          <w:rFonts w:hint="eastAsia" w:ascii="宋体" w:hAnsi="宋体" w:cs="宋体"/>
        </w:rPr>
        <w:t>作出全面的基本响应，那么可能导致其投标被拒绝。</w:t>
      </w:r>
    </w:p>
    <w:p w14:paraId="39F4D8F3">
      <w:pPr>
        <w:pStyle w:val="18"/>
        <w:spacing w:line="360" w:lineRule="auto"/>
        <w:rPr>
          <w:rFonts w:ascii="宋体" w:hAnsi="宋体" w:cs="宋体"/>
        </w:rPr>
      </w:pPr>
      <w:r>
        <w:rPr>
          <w:rFonts w:hint="eastAsia" w:ascii="宋体" w:hAnsi="宋体" w:cs="宋体"/>
        </w:rPr>
        <w:t>（5） 投标文件要加盖法人公章及法定代表人或其授权代表的印章，否则将被视为无效标。</w:t>
      </w:r>
    </w:p>
    <w:p w14:paraId="07ED5B83">
      <w:pPr>
        <w:pStyle w:val="18"/>
        <w:spacing w:line="360" w:lineRule="auto"/>
        <w:rPr>
          <w:rFonts w:ascii="宋体" w:hAnsi="宋体" w:cs="宋体"/>
        </w:rPr>
      </w:pPr>
      <w:r>
        <w:rPr>
          <w:rFonts w:hint="eastAsia" w:ascii="宋体" w:hAnsi="宋体" w:cs="宋体"/>
        </w:rPr>
        <w:t>（6） 除投标人对错处作必要修改外，投标文件中不允许有加行、涂改或改写，任何修改须单独制作修改文件，并加盖法人公章及法定代表人或授权代表的印章。</w:t>
      </w:r>
    </w:p>
    <w:p w14:paraId="305CCABB">
      <w:pPr>
        <w:pStyle w:val="18"/>
        <w:spacing w:line="360" w:lineRule="auto"/>
        <w:rPr>
          <w:rFonts w:hint="eastAsia" w:ascii="宋体" w:hAnsi="宋体" w:cs="宋体"/>
        </w:rPr>
      </w:pPr>
      <w:r>
        <w:rPr>
          <w:rFonts w:hint="eastAsia" w:ascii="宋体" w:hAnsi="宋体" w:cs="宋体"/>
        </w:rPr>
        <w:t>（7）在第六章“投标文件格式”中要求盖投标人签章处，投标人均应加盖投标人签章。</w:t>
      </w:r>
    </w:p>
    <w:p w14:paraId="416A46E4">
      <w:pPr>
        <w:pStyle w:val="18"/>
        <w:spacing w:line="360" w:lineRule="auto"/>
        <w:rPr>
          <w:rFonts w:ascii="宋体" w:hAnsi="宋体" w:cs="宋体"/>
        </w:rPr>
      </w:pPr>
      <w:r>
        <w:rPr>
          <w:rFonts w:hint="eastAsia" w:ascii="宋体" w:hAnsi="宋体" w:cs="宋体"/>
        </w:rPr>
        <w:t>（8） 开标现场提交的其他材料要求详见投标人须知前附表。</w:t>
      </w:r>
    </w:p>
    <w:p w14:paraId="199A47F7">
      <w:pPr>
        <w:pStyle w:val="18"/>
        <w:spacing w:line="360" w:lineRule="auto"/>
        <w:ind w:left="0" w:leftChars="0"/>
        <w:rPr>
          <w:rFonts w:ascii="宋体" w:hAnsi="宋体" w:cs="宋体"/>
        </w:rPr>
      </w:pPr>
      <w:r>
        <w:rPr>
          <w:rFonts w:hint="eastAsia" w:ascii="宋体" w:hAnsi="宋体" w:cs="宋体"/>
        </w:rPr>
        <w:t>3.</w:t>
      </w:r>
      <w:r>
        <w:rPr>
          <w:rFonts w:ascii="宋体" w:hAnsi="宋体" w:cs="宋体"/>
        </w:rPr>
        <w:t>4</w:t>
      </w:r>
      <w:r>
        <w:rPr>
          <w:rFonts w:hint="eastAsia" w:ascii="宋体" w:hAnsi="宋体" w:cs="宋体"/>
        </w:rPr>
        <w:t>.2投标文件应按第六章“投标文件格式”进行编写，如有必要，可以增加附页，作为投标文件的组成部分。</w:t>
      </w:r>
    </w:p>
    <w:p w14:paraId="77FAE994">
      <w:pPr>
        <w:pStyle w:val="18"/>
        <w:spacing w:line="360" w:lineRule="auto"/>
        <w:ind w:left="0" w:leftChars="0"/>
        <w:rPr>
          <w:rFonts w:ascii="宋体" w:hAnsi="宋体" w:cs="宋体"/>
        </w:rPr>
      </w:pPr>
      <w:r>
        <w:rPr>
          <w:rFonts w:hint="eastAsia" w:ascii="宋体" w:hAnsi="宋体" w:cs="宋体"/>
        </w:rPr>
        <w:t>3.</w:t>
      </w:r>
      <w:r>
        <w:rPr>
          <w:rFonts w:ascii="宋体" w:hAnsi="宋体" w:cs="宋体"/>
        </w:rPr>
        <w:t>4</w:t>
      </w:r>
      <w:r>
        <w:rPr>
          <w:rFonts w:hint="eastAsia" w:ascii="宋体" w:hAnsi="宋体" w:cs="宋体"/>
        </w:rPr>
        <w:t>.3 投标文件应当对</w:t>
      </w:r>
      <w:r>
        <w:rPr>
          <w:rFonts w:hint="eastAsia" w:ascii="宋体" w:hAnsi="宋体" w:cs="宋体"/>
          <w:lang w:eastAsia="zh-CN"/>
        </w:rPr>
        <w:t>遴选文件</w:t>
      </w:r>
      <w:r>
        <w:rPr>
          <w:rFonts w:hint="eastAsia" w:ascii="宋体" w:hAnsi="宋体" w:cs="宋体"/>
        </w:rPr>
        <w:t>有关服务期限、投标有效期、质量标准、招标范围等实质性内容作出响应。</w:t>
      </w:r>
    </w:p>
    <w:p w14:paraId="13B52A2C">
      <w:pPr>
        <w:pStyle w:val="18"/>
        <w:spacing w:line="360" w:lineRule="auto"/>
        <w:ind w:left="0" w:leftChars="0"/>
        <w:rPr>
          <w:rFonts w:ascii="宋体" w:hAnsi="宋体" w:cs="宋体"/>
        </w:rPr>
      </w:pPr>
      <w:r>
        <w:rPr>
          <w:rFonts w:hint="eastAsia" w:ascii="宋体" w:hAnsi="宋体" w:cs="宋体"/>
        </w:rPr>
        <w:t>3.</w:t>
      </w:r>
      <w:r>
        <w:rPr>
          <w:rFonts w:ascii="宋体" w:hAnsi="宋体" w:cs="宋体"/>
        </w:rPr>
        <w:t>4</w:t>
      </w:r>
      <w:r>
        <w:rPr>
          <w:rFonts w:hint="eastAsia" w:ascii="宋体" w:hAnsi="宋体" w:cs="宋体"/>
        </w:rPr>
        <w:t xml:space="preserve">.4投标文件应用不褪色的材料书写或打印，并由投标人的法定代表人或其委托代理人签字或盖单位章。委托代理人签字的，投标文件应附法定代表人签署的授权委托书。投标文件应尽量避免涂改、行间插字或删除。如果出现上述情况，改动之处应加盖单位章或由投标人的法定代表人或其授权的代理人签字确认。 </w:t>
      </w:r>
    </w:p>
    <w:p w14:paraId="04C8EDE1">
      <w:pPr>
        <w:pStyle w:val="18"/>
        <w:spacing w:line="360" w:lineRule="auto"/>
        <w:ind w:left="0" w:leftChars="0" w:firstLine="0" w:firstLineChars="0"/>
        <w:rPr>
          <w:rFonts w:ascii="宋体" w:hAnsi="宋体" w:cs="宋体"/>
          <w:b/>
          <w:bCs/>
        </w:rPr>
      </w:pPr>
      <w:r>
        <w:rPr>
          <w:rFonts w:hint="eastAsia" w:ascii="宋体" w:hAnsi="宋体" w:cs="宋体"/>
          <w:b/>
          <w:bCs/>
        </w:rPr>
        <w:t>4. 投标</w:t>
      </w:r>
    </w:p>
    <w:p w14:paraId="1CD6C0E6">
      <w:pPr>
        <w:pStyle w:val="18"/>
        <w:spacing w:line="360" w:lineRule="auto"/>
        <w:ind w:left="0" w:leftChars="0"/>
        <w:rPr>
          <w:rFonts w:ascii="宋体" w:hAnsi="宋体" w:cs="宋体"/>
        </w:rPr>
      </w:pPr>
      <w:r>
        <w:rPr>
          <w:rFonts w:hint="eastAsia" w:ascii="宋体" w:hAnsi="宋体" w:cs="宋体"/>
        </w:rPr>
        <w:t>4.1  投标文件的递交</w:t>
      </w:r>
    </w:p>
    <w:p w14:paraId="79679E3B">
      <w:pPr>
        <w:pStyle w:val="18"/>
        <w:spacing w:line="360" w:lineRule="auto"/>
        <w:ind w:left="0" w:leftChars="0"/>
        <w:rPr>
          <w:rFonts w:ascii="宋体" w:hAnsi="宋体" w:cs="宋体"/>
        </w:rPr>
      </w:pPr>
      <w:r>
        <w:rPr>
          <w:rFonts w:hint="eastAsia" w:ascii="宋体" w:hAnsi="宋体" w:cs="宋体"/>
        </w:rPr>
        <w:t>4.2.1投标人递交投标文件截止时间：见投标人须知前附表。</w:t>
      </w:r>
    </w:p>
    <w:p w14:paraId="6657E2C8">
      <w:pPr>
        <w:pStyle w:val="18"/>
        <w:spacing w:line="360" w:lineRule="auto"/>
        <w:ind w:left="0" w:leftChars="0"/>
        <w:rPr>
          <w:rFonts w:ascii="宋体" w:hAnsi="宋体" w:cs="宋体"/>
        </w:rPr>
      </w:pPr>
      <w:r>
        <w:rPr>
          <w:rFonts w:hint="eastAsia" w:ascii="宋体" w:hAnsi="宋体" w:cs="宋体"/>
        </w:rPr>
        <w:t>4.2.2投标人递交投标文件的地点：见投标人须知前附表。</w:t>
      </w:r>
    </w:p>
    <w:p w14:paraId="23C2353D">
      <w:pPr>
        <w:pStyle w:val="18"/>
        <w:spacing w:line="360" w:lineRule="auto"/>
        <w:ind w:left="0" w:leftChars="0"/>
        <w:rPr>
          <w:rFonts w:ascii="宋体" w:hAnsi="宋体" w:cs="宋体"/>
        </w:rPr>
      </w:pPr>
      <w:r>
        <w:rPr>
          <w:rFonts w:hint="eastAsia" w:ascii="宋体" w:hAnsi="宋体" w:cs="宋体"/>
        </w:rPr>
        <w:t>4.2.3除投标人须知前附表另有规定外，投标人所递交的投标文件不予退还。</w:t>
      </w:r>
    </w:p>
    <w:p w14:paraId="69228814">
      <w:pPr>
        <w:pStyle w:val="18"/>
        <w:spacing w:line="360" w:lineRule="auto"/>
        <w:ind w:left="0" w:leftChars="0"/>
        <w:rPr>
          <w:rFonts w:ascii="宋体" w:hAnsi="宋体" w:cs="宋体"/>
        </w:rPr>
      </w:pPr>
      <w:r>
        <w:rPr>
          <w:rFonts w:hint="eastAsia" w:ascii="宋体" w:hAnsi="宋体" w:cs="宋体"/>
        </w:rPr>
        <w:t>4.2.4逾期送达的或者未送达指定地点的投标文件，招标人不予受理。</w:t>
      </w:r>
    </w:p>
    <w:p w14:paraId="3FC74C5E">
      <w:pPr>
        <w:pStyle w:val="18"/>
        <w:spacing w:line="360" w:lineRule="auto"/>
        <w:ind w:left="0" w:leftChars="0"/>
        <w:rPr>
          <w:rFonts w:ascii="宋体" w:hAnsi="宋体" w:cs="宋体"/>
        </w:rPr>
      </w:pPr>
      <w:r>
        <w:rPr>
          <w:rFonts w:hint="eastAsia" w:ascii="宋体" w:hAnsi="宋体" w:cs="宋体"/>
        </w:rPr>
        <w:t>4.3 投标文件的修改与撤回</w:t>
      </w:r>
    </w:p>
    <w:p w14:paraId="6AD02329">
      <w:pPr>
        <w:pStyle w:val="18"/>
        <w:spacing w:line="360" w:lineRule="auto"/>
        <w:ind w:left="0" w:leftChars="0"/>
        <w:rPr>
          <w:rFonts w:ascii="宋体" w:hAnsi="宋体" w:cs="宋体"/>
        </w:rPr>
      </w:pPr>
      <w:r>
        <w:rPr>
          <w:rFonts w:hint="eastAsia" w:ascii="宋体" w:hAnsi="宋体" w:cs="宋体"/>
        </w:rPr>
        <w:t>4.3.1 投标人应当在第一章“招标公告”规定的投标截止时间前，将电子版的投标文件在规定时间内提交。</w:t>
      </w:r>
    </w:p>
    <w:p w14:paraId="2A886AFB">
      <w:pPr>
        <w:pStyle w:val="18"/>
        <w:spacing w:line="360" w:lineRule="auto"/>
        <w:ind w:left="0" w:leftChars="0"/>
        <w:rPr>
          <w:rFonts w:ascii="宋体" w:hAnsi="宋体" w:cs="宋体"/>
        </w:rPr>
      </w:pPr>
      <w:r>
        <w:rPr>
          <w:rFonts w:hint="eastAsia" w:ascii="宋体" w:hAnsi="宋体" w:cs="宋体"/>
        </w:rPr>
        <w:t xml:space="preserve">4.3.2 投标人应当在投标截止时间前完成投标文件的递交，并可以补充、修改或者撤回投标文件。投标截止时间前未完成投标文件递交的，视为撤回投标文件。在投标截止时间后送达的投标文件，招标人有权拒收。 </w:t>
      </w:r>
    </w:p>
    <w:p w14:paraId="6A26AE45">
      <w:pPr>
        <w:pStyle w:val="18"/>
        <w:spacing w:line="360" w:lineRule="auto"/>
        <w:ind w:left="0" w:leftChars="0"/>
        <w:rPr>
          <w:rFonts w:ascii="宋体" w:hAnsi="宋体" w:cs="宋体"/>
        </w:rPr>
      </w:pPr>
      <w:r>
        <w:rPr>
          <w:rFonts w:hint="eastAsia" w:ascii="宋体" w:hAnsi="宋体" w:cs="宋体"/>
        </w:rPr>
        <w:t xml:space="preserve">4.3.3 投标人在投标人须知前附表规定的时间内完成电子投标文件的递交。 </w:t>
      </w:r>
    </w:p>
    <w:p w14:paraId="769B940E">
      <w:pPr>
        <w:pStyle w:val="18"/>
        <w:spacing w:line="360" w:lineRule="auto"/>
        <w:ind w:left="0" w:leftChars="0" w:firstLine="0" w:firstLineChars="0"/>
        <w:rPr>
          <w:rFonts w:ascii="宋体" w:hAnsi="宋体" w:cs="宋体"/>
          <w:b/>
          <w:bCs/>
        </w:rPr>
      </w:pPr>
      <w:r>
        <w:rPr>
          <w:rFonts w:hint="eastAsia" w:ascii="宋体" w:hAnsi="宋体" w:cs="宋体"/>
          <w:b/>
          <w:bCs/>
        </w:rPr>
        <w:t>5. 开标</w:t>
      </w:r>
    </w:p>
    <w:p w14:paraId="14AEFDD6">
      <w:pPr>
        <w:pStyle w:val="18"/>
        <w:spacing w:line="360" w:lineRule="auto"/>
        <w:ind w:left="0" w:leftChars="0"/>
        <w:rPr>
          <w:rFonts w:ascii="宋体" w:hAnsi="宋体" w:cs="宋体"/>
        </w:rPr>
      </w:pPr>
      <w:r>
        <w:rPr>
          <w:rFonts w:hint="eastAsia" w:ascii="宋体" w:hAnsi="宋体" w:cs="宋体"/>
        </w:rPr>
        <w:t>5.1 开标时间和地点</w:t>
      </w:r>
    </w:p>
    <w:p w14:paraId="5ED368FE">
      <w:pPr>
        <w:pStyle w:val="18"/>
        <w:spacing w:line="360" w:lineRule="auto"/>
        <w:ind w:left="0" w:leftChars="0"/>
        <w:rPr>
          <w:rFonts w:ascii="宋体" w:hAnsi="宋体" w:cs="宋体"/>
        </w:rPr>
      </w:pPr>
      <w:r>
        <w:rPr>
          <w:rFonts w:hint="eastAsia" w:ascii="宋体" w:hAnsi="宋体" w:cs="宋体"/>
        </w:rPr>
        <w:t xml:space="preserve">5.1.1 招标人将按投标人须知前附表中规定的开标时间和地点组织公开开标。 </w:t>
      </w:r>
    </w:p>
    <w:p w14:paraId="13DC1C15">
      <w:pPr>
        <w:pStyle w:val="18"/>
        <w:spacing w:line="360" w:lineRule="auto"/>
        <w:ind w:left="0" w:leftChars="0"/>
        <w:rPr>
          <w:rFonts w:ascii="宋体" w:hAnsi="宋体" w:cs="宋体"/>
        </w:rPr>
      </w:pPr>
      <w:r>
        <w:rPr>
          <w:rFonts w:hint="eastAsia" w:ascii="宋体" w:hAnsi="宋体" w:cs="宋体"/>
        </w:rPr>
        <w:t>5.1.2 开标时，招标人将对开标过程进行记录（包括投标人名称、投标价格及</w:t>
      </w:r>
      <w:r>
        <w:rPr>
          <w:rFonts w:hint="eastAsia" w:ascii="宋体" w:hAnsi="宋体" w:cs="宋体"/>
          <w:lang w:eastAsia="zh-CN"/>
        </w:rPr>
        <w:t>遴选文件</w:t>
      </w:r>
      <w:r>
        <w:rPr>
          <w:rFonts w:hint="eastAsia" w:ascii="宋体" w:hAnsi="宋体" w:cs="宋体"/>
        </w:rPr>
        <w:t xml:space="preserve">规定的内容），由参加开标的各投标人代表和相关工作人员签字确认，并存档备查。  </w:t>
      </w:r>
    </w:p>
    <w:p w14:paraId="3F785634">
      <w:pPr>
        <w:pStyle w:val="18"/>
        <w:spacing w:line="360" w:lineRule="auto"/>
        <w:ind w:left="0" w:leftChars="0"/>
        <w:rPr>
          <w:rFonts w:ascii="宋体" w:hAnsi="宋体" w:cs="宋体"/>
        </w:rPr>
      </w:pPr>
      <w:r>
        <w:rPr>
          <w:rFonts w:hint="eastAsia" w:ascii="宋体" w:hAnsi="宋体" w:cs="宋体"/>
        </w:rPr>
        <w:t xml:space="preserve">5.1.3 投标人代表对开标过程和开标记录有疑义，以及认为招标人相关工作人员有需要回避的情形的，应当场提出询问或者回避申请。 </w:t>
      </w:r>
    </w:p>
    <w:p w14:paraId="229F60A8">
      <w:pPr>
        <w:pStyle w:val="18"/>
        <w:spacing w:line="360" w:lineRule="auto"/>
        <w:ind w:left="0" w:leftChars="0"/>
        <w:rPr>
          <w:rFonts w:ascii="宋体" w:hAnsi="宋体" w:cs="宋体"/>
        </w:rPr>
      </w:pPr>
      <w:r>
        <w:rPr>
          <w:rFonts w:hint="eastAsia" w:ascii="宋体" w:hAnsi="宋体" w:cs="宋体"/>
        </w:rPr>
        <w:t>5.2.2投标人参加开标会的要求,见投标人须知前附表。</w:t>
      </w:r>
    </w:p>
    <w:p w14:paraId="422773C3">
      <w:pPr>
        <w:pStyle w:val="18"/>
        <w:spacing w:line="360" w:lineRule="auto"/>
        <w:ind w:left="0" w:leftChars="0"/>
        <w:rPr>
          <w:rFonts w:hint="eastAsia" w:ascii="宋体" w:hAnsi="宋体" w:cs="宋体"/>
          <w:b/>
          <w:bCs/>
        </w:rPr>
      </w:pPr>
      <w:r>
        <w:rPr>
          <w:rFonts w:hint="eastAsia" w:ascii="宋体" w:hAnsi="宋体" w:cs="宋体"/>
        </w:rPr>
        <w:t>5.2.3</w:t>
      </w:r>
      <w:r>
        <w:rPr>
          <w:rFonts w:hint="eastAsia" w:ascii="宋体" w:hAnsi="宋体" w:cs="宋体"/>
          <w:b/>
          <w:bCs/>
        </w:rPr>
        <w:t>（1）若通过资格审查和符合性审查的有效投标人为3家，采购人按综合评分由高到低确定2家入库供应商；不再要求必须入库 3 家。全库统一协议单价按2家入库供应商报价算术平均。</w:t>
      </w:r>
    </w:p>
    <w:p w14:paraId="549E0372">
      <w:pPr>
        <w:pStyle w:val="18"/>
        <w:spacing w:line="360" w:lineRule="auto"/>
        <w:ind w:left="0" w:leftChars="0"/>
        <w:rPr>
          <w:rFonts w:hint="eastAsia" w:ascii="宋体" w:hAnsi="宋体" w:cs="宋体"/>
          <w:b/>
          <w:bCs/>
        </w:rPr>
      </w:pPr>
      <w:r>
        <w:rPr>
          <w:rFonts w:hint="eastAsia" w:ascii="宋体" w:hAnsi="宋体" w:cs="宋体"/>
          <w:b/>
          <w:bCs/>
        </w:rPr>
        <w:t>（2）若通过资格审查和符合性审查的有效投标人为2家，采购人可继续评审，按综合评分由高到低确定1家入库供应商；全库统一协议单价按该入库供应商对应分项有效报价确定，不再执行3家算术平均值。采购人认为竞争不足或履约风险较大的，也可终止本次采购并重新组织。</w:t>
      </w:r>
    </w:p>
    <w:p w14:paraId="0B6233C8">
      <w:pPr>
        <w:pStyle w:val="18"/>
        <w:spacing w:line="360" w:lineRule="auto"/>
        <w:ind w:left="0" w:leftChars="0"/>
        <w:rPr>
          <w:rFonts w:hint="default" w:ascii="宋体" w:hAnsi="宋体" w:eastAsia="宋体" w:cs="宋体"/>
          <w:lang w:val="en-US" w:eastAsia="zh-CN"/>
        </w:rPr>
      </w:pPr>
      <w:r>
        <w:rPr>
          <w:rFonts w:hint="eastAsia" w:ascii="宋体" w:hAnsi="宋体" w:cs="宋体"/>
          <w:b/>
          <w:bCs/>
        </w:rPr>
        <w:t>（3）若通过资格审查和符合性审查的有效投标人为1家时，终止本次采购，重新组织。</w:t>
      </w:r>
    </w:p>
    <w:p w14:paraId="778598F7">
      <w:pPr>
        <w:spacing w:line="360" w:lineRule="auto"/>
        <w:outlineLvl w:val="1"/>
        <w:rPr>
          <w:rFonts w:ascii="宋体" w:hAnsi="宋体" w:cs="宋体"/>
          <w:b/>
          <w:bCs/>
        </w:rPr>
      </w:pPr>
      <w:r>
        <w:rPr>
          <w:rFonts w:hint="eastAsia" w:ascii="宋体" w:hAnsi="宋体" w:cs="宋体"/>
          <w:b/>
          <w:bCs/>
        </w:rPr>
        <w:t>6. 评标</w:t>
      </w:r>
      <w:bookmarkEnd w:id="169"/>
      <w:bookmarkEnd w:id="170"/>
      <w:bookmarkEnd w:id="171"/>
      <w:bookmarkEnd w:id="172"/>
      <w:bookmarkEnd w:id="173"/>
      <w:bookmarkEnd w:id="174"/>
      <w:bookmarkEnd w:id="175"/>
      <w:bookmarkEnd w:id="176"/>
      <w:bookmarkEnd w:id="177"/>
    </w:p>
    <w:p w14:paraId="45DBCA91">
      <w:pPr>
        <w:spacing w:line="360" w:lineRule="auto"/>
        <w:ind w:firstLine="420" w:firstLineChars="200"/>
        <w:outlineLvl w:val="2"/>
        <w:rPr>
          <w:rFonts w:ascii="宋体" w:hAnsi="宋体" w:cs="宋体"/>
          <w:b/>
          <w:bCs/>
        </w:rPr>
      </w:pPr>
      <w:bookmarkStart w:id="178" w:name="_Toc144974531"/>
      <w:bookmarkStart w:id="179" w:name="_Toc152045563"/>
      <w:bookmarkStart w:id="180" w:name="_Toc493081600"/>
      <w:bookmarkStart w:id="181" w:name="_Toc152042339"/>
      <w:bookmarkStart w:id="182" w:name="_Toc179632581"/>
      <w:bookmarkStart w:id="183" w:name="_Toc487461286"/>
      <w:r>
        <w:rPr>
          <w:rFonts w:hint="eastAsia" w:ascii="宋体" w:hAnsi="宋体" w:cs="宋体"/>
          <w:b/>
          <w:bCs/>
        </w:rPr>
        <w:t>6.1 评标委员会</w:t>
      </w:r>
      <w:bookmarkEnd w:id="178"/>
      <w:bookmarkEnd w:id="179"/>
      <w:bookmarkEnd w:id="180"/>
      <w:bookmarkEnd w:id="181"/>
      <w:bookmarkEnd w:id="182"/>
      <w:bookmarkEnd w:id="183"/>
    </w:p>
    <w:p w14:paraId="50E8199C">
      <w:pPr>
        <w:spacing w:line="360" w:lineRule="auto"/>
        <w:ind w:firstLine="420" w:firstLineChars="200"/>
        <w:rPr>
          <w:rFonts w:ascii="宋体" w:hAnsi="宋体" w:cs="宋体"/>
        </w:rPr>
      </w:pPr>
      <w:r>
        <w:rPr>
          <w:rFonts w:hint="eastAsia" w:ascii="宋体" w:hAnsi="宋体" w:cs="宋体"/>
        </w:rPr>
        <w:t>6.1.1评标由招标人依法组建，人数见须知前附表</w:t>
      </w:r>
    </w:p>
    <w:p w14:paraId="43A21FAB">
      <w:pPr>
        <w:spacing w:line="360" w:lineRule="auto"/>
        <w:ind w:firstLine="420" w:firstLineChars="200"/>
        <w:rPr>
          <w:rFonts w:ascii="宋体" w:hAnsi="宋体" w:cs="宋体"/>
        </w:rPr>
      </w:pPr>
      <w:r>
        <w:rPr>
          <w:rFonts w:hint="eastAsia" w:ascii="宋体" w:hAnsi="宋体" w:cs="宋体"/>
        </w:rPr>
        <w:t>6.1.2评标委员会成员有下列情形之一的，应当回避：</w:t>
      </w:r>
    </w:p>
    <w:p w14:paraId="6460B784">
      <w:pPr>
        <w:spacing w:line="360" w:lineRule="auto"/>
        <w:ind w:firstLine="420" w:firstLineChars="200"/>
        <w:rPr>
          <w:rFonts w:ascii="宋体" w:hAnsi="宋体" w:cs="宋体"/>
        </w:rPr>
      </w:pPr>
      <w:r>
        <w:rPr>
          <w:rFonts w:hint="eastAsia" w:ascii="宋体" w:hAnsi="宋体" w:cs="宋体"/>
        </w:rPr>
        <w:t>（1）招标人或投标人的主要负责人的近亲属；</w:t>
      </w:r>
    </w:p>
    <w:p w14:paraId="301621FE">
      <w:pPr>
        <w:spacing w:line="360" w:lineRule="auto"/>
        <w:ind w:firstLine="420" w:firstLineChars="200"/>
        <w:rPr>
          <w:rFonts w:ascii="宋体" w:hAnsi="宋体" w:cs="宋体"/>
        </w:rPr>
      </w:pPr>
      <w:r>
        <w:rPr>
          <w:rFonts w:hint="eastAsia" w:ascii="宋体" w:hAnsi="宋体" w:cs="宋体"/>
        </w:rPr>
        <w:t>（2）项目主管部门或者行政监督部门的人员；</w:t>
      </w:r>
    </w:p>
    <w:p w14:paraId="26D17A8D">
      <w:pPr>
        <w:spacing w:line="360" w:lineRule="auto"/>
        <w:ind w:firstLine="420" w:firstLineChars="200"/>
        <w:rPr>
          <w:rFonts w:ascii="宋体" w:hAnsi="宋体" w:cs="宋体"/>
        </w:rPr>
      </w:pPr>
      <w:r>
        <w:rPr>
          <w:rFonts w:hint="eastAsia" w:ascii="宋体" w:hAnsi="宋体" w:cs="宋体"/>
        </w:rPr>
        <w:t>（3）与投标人有经济利益关系，可能影响对投标公正评审的；</w:t>
      </w:r>
    </w:p>
    <w:p w14:paraId="42BB07D3">
      <w:pPr>
        <w:spacing w:line="360" w:lineRule="auto"/>
        <w:ind w:firstLine="420" w:firstLineChars="200"/>
        <w:rPr>
          <w:rFonts w:ascii="宋体" w:hAnsi="宋体" w:cs="宋体"/>
        </w:rPr>
      </w:pPr>
      <w:r>
        <w:rPr>
          <w:rFonts w:hint="eastAsia" w:ascii="宋体" w:hAnsi="宋体" w:cs="宋体"/>
        </w:rPr>
        <w:t>（4）曾因在招标、评标以及其他与招标投标有关活动中从事违法行为而受过行政处罚或刑事处罚的。</w:t>
      </w:r>
    </w:p>
    <w:p w14:paraId="2792493E">
      <w:pPr>
        <w:spacing w:line="360" w:lineRule="auto"/>
        <w:ind w:firstLine="420" w:firstLineChars="200"/>
        <w:outlineLvl w:val="2"/>
        <w:rPr>
          <w:rFonts w:ascii="宋体" w:hAnsi="宋体" w:cs="宋体"/>
          <w:b/>
          <w:bCs/>
        </w:rPr>
      </w:pPr>
      <w:bookmarkStart w:id="184" w:name="_Toc144974532"/>
      <w:bookmarkStart w:id="185" w:name="_Toc179632582"/>
      <w:bookmarkStart w:id="186" w:name="_Toc487461287"/>
      <w:bookmarkStart w:id="187" w:name="_Toc493081601"/>
      <w:bookmarkStart w:id="188" w:name="_Toc152045564"/>
      <w:bookmarkStart w:id="189" w:name="_Toc152042340"/>
      <w:r>
        <w:rPr>
          <w:rFonts w:hint="eastAsia" w:ascii="宋体" w:hAnsi="宋体" w:cs="宋体"/>
          <w:b/>
          <w:bCs/>
        </w:rPr>
        <w:t>6.2 评标原则</w:t>
      </w:r>
      <w:bookmarkEnd w:id="184"/>
      <w:bookmarkEnd w:id="185"/>
      <w:bookmarkEnd w:id="186"/>
      <w:bookmarkEnd w:id="187"/>
      <w:bookmarkEnd w:id="188"/>
      <w:bookmarkEnd w:id="189"/>
    </w:p>
    <w:p w14:paraId="1BC26206">
      <w:pPr>
        <w:spacing w:line="360" w:lineRule="auto"/>
        <w:ind w:firstLine="420" w:firstLineChars="200"/>
        <w:rPr>
          <w:rFonts w:ascii="宋体" w:hAnsi="宋体" w:cs="宋体"/>
        </w:rPr>
      </w:pPr>
      <w:r>
        <w:rPr>
          <w:rFonts w:hint="eastAsia" w:ascii="宋体" w:hAnsi="宋体" w:cs="宋体"/>
        </w:rPr>
        <w:t>评标活动遵循公平、公正、科学和择优的原则</w:t>
      </w:r>
      <w:bookmarkStart w:id="190" w:name="_Toc144974533"/>
      <w:bookmarkStart w:id="191" w:name="_Toc152042341"/>
      <w:bookmarkStart w:id="192" w:name="_Toc179632583"/>
      <w:bookmarkStart w:id="193" w:name="_Toc152045565"/>
    </w:p>
    <w:p w14:paraId="44202DC5">
      <w:pPr>
        <w:spacing w:line="360" w:lineRule="auto"/>
        <w:ind w:firstLine="420" w:firstLineChars="200"/>
        <w:outlineLvl w:val="2"/>
        <w:rPr>
          <w:rFonts w:ascii="宋体" w:hAnsi="宋体" w:cs="宋体"/>
          <w:b/>
          <w:bCs/>
        </w:rPr>
      </w:pPr>
      <w:bookmarkStart w:id="194" w:name="_Toc493081602"/>
      <w:bookmarkStart w:id="195" w:name="_Toc487461288"/>
      <w:r>
        <w:rPr>
          <w:rFonts w:hint="eastAsia" w:ascii="宋体" w:hAnsi="宋体" w:cs="宋体"/>
          <w:b/>
          <w:bCs/>
        </w:rPr>
        <w:t>6.3 评标</w:t>
      </w:r>
      <w:bookmarkEnd w:id="190"/>
      <w:bookmarkEnd w:id="191"/>
      <w:bookmarkEnd w:id="192"/>
      <w:bookmarkEnd w:id="193"/>
      <w:bookmarkEnd w:id="194"/>
      <w:bookmarkEnd w:id="195"/>
    </w:p>
    <w:p w14:paraId="6AD94409">
      <w:pPr>
        <w:spacing w:line="360" w:lineRule="auto"/>
        <w:ind w:firstLine="420" w:firstLineChars="200"/>
        <w:rPr>
          <w:rFonts w:ascii="宋体" w:hAnsi="宋体" w:cs="宋体"/>
        </w:rPr>
      </w:pPr>
      <w:r>
        <w:rPr>
          <w:rFonts w:hint="eastAsia" w:ascii="宋体" w:hAnsi="宋体" w:cs="宋体"/>
        </w:rPr>
        <w:t>评标委员会按照第三章“评标办法”规定的方法、评审因素、标准和程序对投标文件进行评审。第三章“评标办法”没有规定的方法、评审因素和标准，不作为评标依据。</w:t>
      </w:r>
      <w:bookmarkStart w:id="196" w:name="_Toc179632584"/>
      <w:bookmarkStart w:id="197" w:name="_Toc30005"/>
      <w:bookmarkStart w:id="198" w:name="_Toc152045566"/>
      <w:bookmarkStart w:id="199" w:name="_Toc144974534"/>
      <w:bookmarkStart w:id="200" w:name="_Toc152042342"/>
      <w:bookmarkStart w:id="201" w:name="_Toc18941"/>
    </w:p>
    <w:p w14:paraId="378D3EA3">
      <w:pPr>
        <w:spacing w:line="360" w:lineRule="auto"/>
        <w:outlineLvl w:val="1"/>
        <w:rPr>
          <w:rFonts w:ascii="宋体" w:hAnsi="宋体" w:cs="宋体"/>
          <w:b/>
          <w:bCs/>
        </w:rPr>
      </w:pPr>
      <w:bookmarkStart w:id="202" w:name="_Toc493081603"/>
      <w:bookmarkStart w:id="203" w:name="_Toc487641637"/>
      <w:bookmarkStart w:id="204" w:name="_Toc487461289"/>
      <w:r>
        <w:rPr>
          <w:rFonts w:hint="eastAsia" w:ascii="宋体" w:hAnsi="宋体" w:cs="宋体"/>
          <w:b/>
          <w:bCs/>
        </w:rPr>
        <w:t>7. 合同授予</w:t>
      </w:r>
      <w:bookmarkEnd w:id="202"/>
      <w:bookmarkEnd w:id="203"/>
    </w:p>
    <w:bookmarkEnd w:id="196"/>
    <w:bookmarkEnd w:id="197"/>
    <w:bookmarkEnd w:id="198"/>
    <w:bookmarkEnd w:id="199"/>
    <w:bookmarkEnd w:id="200"/>
    <w:bookmarkEnd w:id="201"/>
    <w:bookmarkEnd w:id="204"/>
    <w:p w14:paraId="5E62C363">
      <w:pPr>
        <w:spacing w:line="360" w:lineRule="auto"/>
        <w:ind w:firstLine="420" w:firstLineChars="200"/>
        <w:outlineLvl w:val="2"/>
        <w:rPr>
          <w:rFonts w:ascii="宋体" w:hAnsi="宋体" w:cs="宋体"/>
          <w:b/>
          <w:bCs/>
        </w:rPr>
      </w:pPr>
      <w:bookmarkStart w:id="205" w:name="_Toc152042343"/>
      <w:bookmarkStart w:id="206" w:name="_Toc493081604"/>
      <w:bookmarkStart w:id="207" w:name="_Toc152045567"/>
      <w:bookmarkStart w:id="208" w:name="_Toc179632585"/>
      <w:bookmarkStart w:id="209" w:name="_Toc144974535"/>
      <w:bookmarkStart w:id="210" w:name="_Toc487461290"/>
      <w:r>
        <w:rPr>
          <w:rFonts w:hint="eastAsia" w:ascii="宋体" w:hAnsi="宋体" w:cs="宋体"/>
          <w:b/>
          <w:bCs/>
        </w:rPr>
        <w:t>7.1 定标方式</w:t>
      </w:r>
      <w:bookmarkEnd w:id="205"/>
      <w:bookmarkEnd w:id="206"/>
      <w:bookmarkEnd w:id="207"/>
      <w:bookmarkEnd w:id="208"/>
      <w:bookmarkEnd w:id="209"/>
      <w:bookmarkEnd w:id="210"/>
      <w:bookmarkStart w:id="211" w:name="_Toc179632586"/>
      <w:bookmarkStart w:id="212" w:name="_Toc144974536"/>
      <w:bookmarkStart w:id="213" w:name="_Toc152042344"/>
      <w:bookmarkStart w:id="214" w:name="_Toc152045568"/>
    </w:p>
    <w:p w14:paraId="7A87F526">
      <w:pPr>
        <w:spacing w:line="360" w:lineRule="auto"/>
        <w:ind w:firstLine="420" w:firstLineChars="200"/>
        <w:rPr>
          <w:rFonts w:hint="eastAsia" w:ascii="宋体" w:hAnsi="宋体" w:cs="宋体"/>
        </w:rPr>
      </w:pPr>
      <w:r>
        <w:rPr>
          <w:rFonts w:hint="eastAsia" w:ascii="宋体" w:hAnsi="宋体" w:cs="宋体"/>
        </w:rPr>
        <w:t>7.1.1</w:t>
      </w:r>
      <w:r>
        <w:rPr>
          <w:rFonts w:hint="eastAsia" w:ascii="宋体" w:hAnsi="宋体" w:cs="宋体"/>
          <w:highlight w:val="none"/>
        </w:rPr>
        <w:t>除投标人须知前附表规定评标委员会直接确定中标人外，评标委员会依照</w:t>
      </w:r>
      <w:r>
        <w:rPr>
          <w:rFonts w:hint="eastAsia" w:ascii="宋体" w:hAnsi="宋体" w:cs="宋体"/>
          <w:b/>
          <w:bCs/>
          <w:highlight w:val="none"/>
        </w:rPr>
        <w:t>采用综合评分法，资格审查合格、实质响应</w:t>
      </w:r>
      <w:r>
        <w:rPr>
          <w:rFonts w:hint="eastAsia" w:ascii="宋体" w:hAnsi="宋体" w:cs="宋体"/>
          <w:b/>
          <w:bCs/>
          <w:highlight w:val="none"/>
          <w:lang w:eastAsia="zh-CN"/>
        </w:rPr>
        <w:t>遴选文件</w:t>
      </w:r>
      <w:r>
        <w:rPr>
          <w:rFonts w:hint="eastAsia" w:ascii="宋体" w:hAnsi="宋体" w:cs="宋体"/>
          <w:b/>
          <w:bCs/>
          <w:highlight w:val="none"/>
        </w:rPr>
        <w:t>的投标</w:t>
      </w:r>
      <w:r>
        <w:rPr>
          <w:rFonts w:hint="eastAsia" w:ascii="宋体" w:hAnsi="宋体" w:cs="宋体"/>
          <w:b/>
          <w:bCs/>
          <w:highlight w:val="none"/>
          <w:lang w:val="en-US" w:eastAsia="zh-CN"/>
        </w:rPr>
        <w:t>人</w:t>
      </w:r>
      <w:r>
        <w:rPr>
          <w:rFonts w:hint="eastAsia" w:ascii="宋体" w:hAnsi="宋体" w:cs="宋体"/>
          <w:b/>
          <w:bCs/>
          <w:highlight w:val="none"/>
        </w:rPr>
        <w:t xml:space="preserve">进入评审。按得分由高到低确定前 </w:t>
      </w:r>
      <w:r>
        <w:rPr>
          <w:rFonts w:hint="eastAsia" w:ascii="宋体" w:hAnsi="宋体" w:cs="宋体"/>
          <w:b/>
          <w:bCs/>
          <w:highlight w:val="none"/>
          <w:lang w:val="en-US" w:eastAsia="zh-CN"/>
        </w:rPr>
        <w:t>3</w:t>
      </w:r>
      <w:r>
        <w:rPr>
          <w:rFonts w:hint="eastAsia" w:ascii="宋体" w:hAnsi="宋体" w:cs="宋体"/>
          <w:b/>
          <w:bCs/>
          <w:highlight w:val="none"/>
        </w:rPr>
        <w:t xml:space="preserve"> 家为入库供应商。评标全程封闭进行，评委不得与投标人接触、不得外出考察、不得改变评审标准。</w:t>
      </w:r>
      <w:r>
        <w:rPr>
          <w:rFonts w:hint="eastAsia" w:ascii="宋体" w:hAnsi="宋体" w:cs="宋体"/>
          <w:highlight w:val="none"/>
        </w:rPr>
        <w:t>排名前</w:t>
      </w:r>
      <w:r>
        <w:rPr>
          <w:rFonts w:hint="eastAsia" w:ascii="宋体" w:hAnsi="宋体" w:cs="宋体"/>
          <w:highlight w:val="none"/>
          <w:lang w:val="en-US" w:eastAsia="zh-CN"/>
        </w:rPr>
        <w:t>三</w:t>
      </w:r>
      <w:r>
        <w:rPr>
          <w:rFonts w:hint="eastAsia" w:ascii="宋体" w:hAnsi="宋体" w:cs="宋体"/>
          <w:highlight w:val="none"/>
        </w:rPr>
        <w:t>名的中标候选人为中标人，排名前</w:t>
      </w:r>
      <w:r>
        <w:rPr>
          <w:rFonts w:hint="eastAsia" w:ascii="宋体" w:hAnsi="宋体" w:cs="宋体"/>
          <w:highlight w:val="none"/>
          <w:lang w:val="en-US" w:eastAsia="zh-CN"/>
        </w:rPr>
        <w:t>三</w:t>
      </w:r>
      <w:r>
        <w:rPr>
          <w:rFonts w:hint="eastAsia" w:ascii="宋体" w:hAnsi="宋体" w:cs="宋体"/>
          <w:highlight w:val="none"/>
        </w:rPr>
        <w:t>的中标候选人放弃中标、因不可抗力不能履行合同、不按照</w:t>
      </w:r>
      <w:r>
        <w:rPr>
          <w:rFonts w:hint="eastAsia" w:ascii="宋体" w:hAnsi="宋体" w:cs="宋体"/>
          <w:highlight w:val="none"/>
          <w:lang w:eastAsia="zh-CN"/>
        </w:rPr>
        <w:t>遴选文件</w:t>
      </w:r>
      <w:r>
        <w:rPr>
          <w:rFonts w:hint="eastAsia" w:ascii="宋体" w:hAnsi="宋体" w:cs="宋体"/>
          <w:highlight w:val="none"/>
        </w:rPr>
        <w:t>要求提交履约保证金，或者被查实存在影响中标结果的违法行为等情形，不符合中标条件的，招标人可以按照评标委员会提出的中标候选人名单排序依次确定其他中标候选人为中标人,也可以重新招标。</w:t>
      </w:r>
      <w:r>
        <w:rPr>
          <w:rFonts w:hint="eastAsia" w:ascii="宋体" w:hAnsi="宋体" w:cs="宋体"/>
          <w:b/>
          <w:bCs/>
          <w:highlight w:val="none"/>
        </w:rPr>
        <w:t>顺延的中标候选人愿意和承诺按照前</w:t>
      </w:r>
      <w:r>
        <w:rPr>
          <w:rFonts w:hint="eastAsia" w:ascii="宋体" w:hAnsi="宋体" w:cs="宋体"/>
          <w:b/>
          <w:bCs/>
          <w:highlight w:val="none"/>
          <w:lang w:val="en-US" w:eastAsia="zh-CN"/>
        </w:rPr>
        <w:t>三</w:t>
      </w:r>
      <w:r>
        <w:rPr>
          <w:rFonts w:hint="eastAsia" w:ascii="宋体" w:hAnsi="宋体" w:cs="宋体"/>
          <w:b/>
          <w:bCs/>
          <w:highlight w:val="none"/>
        </w:rPr>
        <w:t>名中标候选人入库协议价签订合同的，可以顺延。</w:t>
      </w:r>
      <w:r>
        <w:rPr>
          <w:rFonts w:hint="eastAsia" w:ascii="宋体" w:hAnsi="宋体" w:cs="宋体"/>
          <w:highlight w:val="none"/>
        </w:rPr>
        <w:t>评标委员会推荐中标候选人的人数见投标人须知前附表。</w:t>
      </w:r>
    </w:p>
    <w:p w14:paraId="09113F5A">
      <w:pPr>
        <w:spacing w:line="360" w:lineRule="auto"/>
        <w:ind w:firstLine="420" w:firstLineChars="200"/>
        <w:rPr>
          <w:rFonts w:ascii="宋体" w:hAnsi="宋体" w:cs="宋体"/>
        </w:rPr>
      </w:pPr>
      <w:r>
        <w:rPr>
          <w:rFonts w:hint="eastAsia" w:ascii="宋体" w:hAnsi="宋体" w:cs="宋体"/>
        </w:rPr>
        <w:t>7.1.2信用要求</w:t>
      </w:r>
    </w:p>
    <w:p w14:paraId="6985134B">
      <w:pPr>
        <w:spacing w:line="360" w:lineRule="auto"/>
        <w:ind w:firstLine="420" w:firstLineChars="200"/>
        <w:rPr>
          <w:rFonts w:ascii="宋体" w:hAnsi="宋体" w:cs="宋体"/>
        </w:rPr>
      </w:pPr>
      <w:bookmarkStart w:id="215" w:name="_Toc487461291"/>
      <w:bookmarkStart w:id="216" w:name="_Toc493081605"/>
      <w:r>
        <w:rPr>
          <w:rFonts w:hint="eastAsia" w:ascii="宋体" w:hAnsi="宋体" w:cs="宋体"/>
        </w:rPr>
        <w:t>投标人存在以下不良信用记录情形之一的，不得推荐为中标候选投标人，不得确定为入库单位：</w:t>
      </w:r>
    </w:p>
    <w:p w14:paraId="24F7F34D">
      <w:pPr>
        <w:spacing w:line="360" w:lineRule="auto"/>
        <w:ind w:firstLine="420" w:firstLineChars="200"/>
        <w:rPr>
          <w:rFonts w:ascii="宋体" w:hAnsi="宋体" w:cs="宋体"/>
          <w:strike/>
          <w:highlight w:val="yellow"/>
        </w:rPr>
      </w:pPr>
      <w:r>
        <w:rPr>
          <w:rFonts w:hint="eastAsia" w:ascii="宋体" w:hAnsi="宋体" w:cs="宋体"/>
        </w:rPr>
        <w:t>(1）投标人被人民法院列入失信被执行人的；</w:t>
      </w:r>
    </w:p>
    <w:p w14:paraId="35B18777">
      <w:pPr>
        <w:spacing w:line="360" w:lineRule="auto"/>
        <w:ind w:firstLine="420" w:firstLineChars="200"/>
        <w:rPr>
          <w:rFonts w:ascii="宋体" w:hAnsi="宋体" w:cs="宋体"/>
        </w:rPr>
      </w:pPr>
      <w:r>
        <w:rPr>
          <w:rFonts w:hint="eastAsia" w:ascii="宋体" w:hAnsi="宋体" w:cs="宋体"/>
        </w:rPr>
        <w:t>(2）投标人被工商行政管理部门列入企业经营异常名录的；</w:t>
      </w:r>
    </w:p>
    <w:p w14:paraId="26F419E5">
      <w:pPr>
        <w:spacing w:line="360" w:lineRule="auto"/>
        <w:ind w:firstLine="420" w:firstLineChars="200"/>
        <w:rPr>
          <w:rFonts w:ascii="宋体" w:hAnsi="宋体" w:cs="宋体"/>
        </w:rPr>
      </w:pPr>
      <w:r>
        <w:rPr>
          <w:rFonts w:hint="eastAsia" w:ascii="宋体" w:hAnsi="宋体" w:cs="宋体"/>
        </w:rPr>
        <w:t>(3）投标人被税务部门列入重大税收违法案件当事人名单的；</w:t>
      </w:r>
    </w:p>
    <w:p w14:paraId="689D0536">
      <w:pPr>
        <w:spacing w:line="360" w:lineRule="auto"/>
        <w:ind w:firstLine="420" w:firstLineChars="200"/>
        <w:rPr>
          <w:rFonts w:hint="eastAsia" w:ascii="宋体" w:hAnsi="宋体" w:cs="宋体"/>
        </w:rPr>
      </w:pPr>
      <w:r>
        <w:rPr>
          <w:rFonts w:hint="eastAsia" w:ascii="宋体" w:hAnsi="宋体" w:cs="宋体"/>
        </w:rPr>
        <w:t>(4）投标人被政府采购监管部门列入政府采购严重违法失信行为记录名单的。</w:t>
      </w:r>
    </w:p>
    <w:p w14:paraId="448FFC0F">
      <w:pPr>
        <w:spacing w:after="120" w:line="360" w:lineRule="auto"/>
        <w:rPr>
          <w:rFonts w:ascii="宋体" w:hAnsi="宋体" w:cs="宋体"/>
          <w:szCs w:val="22"/>
        </w:rPr>
      </w:pPr>
      <w:r>
        <w:rPr>
          <w:rFonts w:hint="eastAsia" w:ascii="宋体" w:hAnsi="宋体" w:cs="宋体"/>
        </w:rPr>
        <w:t xml:space="preserve">   </w:t>
      </w:r>
      <w:r>
        <w:rPr>
          <w:rFonts w:hint="eastAsia" w:ascii="宋体" w:hAnsi="宋体" w:cs="宋体"/>
          <w:b/>
          <w:bCs/>
        </w:rPr>
        <w:t xml:space="preserve"> 注：招标人有权后期对各入库单位信用信息进行查证，如发现存在上述情形之一的，有权取消其入库资格，并按中标候选人顺序进行资格顺延。</w:t>
      </w:r>
    </w:p>
    <w:p w14:paraId="5C0A597F">
      <w:pPr>
        <w:spacing w:line="360" w:lineRule="auto"/>
        <w:ind w:firstLine="420" w:firstLineChars="200"/>
        <w:outlineLvl w:val="2"/>
        <w:rPr>
          <w:rFonts w:ascii="宋体" w:hAnsi="宋体" w:cs="宋体"/>
          <w:b/>
          <w:bCs/>
        </w:rPr>
      </w:pPr>
      <w:r>
        <w:rPr>
          <w:rFonts w:hint="eastAsia" w:ascii="宋体" w:hAnsi="宋体" w:cs="宋体"/>
          <w:b/>
          <w:bCs/>
        </w:rPr>
        <w:t>7.2 中标候选人公示、中标通知</w:t>
      </w:r>
      <w:bookmarkEnd w:id="211"/>
      <w:bookmarkEnd w:id="212"/>
      <w:bookmarkEnd w:id="213"/>
      <w:bookmarkEnd w:id="214"/>
      <w:bookmarkEnd w:id="215"/>
      <w:bookmarkEnd w:id="216"/>
    </w:p>
    <w:p w14:paraId="6BB67F3A">
      <w:pPr>
        <w:spacing w:line="360" w:lineRule="auto"/>
        <w:ind w:firstLine="420" w:firstLineChars="200"/>
        <w:rPr>
          <w:rFonts w:ascii="宋体" w:hAnsi="宋体" w:cs="宋体"/>
        </w:rPr>
      </w:pPr>
      <w:r>
        <w:rPr>
          <w:rFonts w:hint="eastAsia" w:ascii="宋体" w:hAnsi="宋体" w:cs="宋体"/>
        </w:rPr>
        <w:t>7.2.1 招标人在投标人须知前附表规定的媒介公示中标候选人，公示时间不少于1个工作日。</w:t>
      </w:r>
    </w:p>
    <w:p w14:paraId="12C29D62">
      <w:pPr>
        <w:spacing w:line="360" w:lineRule="auto"/>
        <w:ind w:firstLine="420" w:firstLineChars="200"/>
        <w:rPr>
          <w:rFonts w:ascii="宋体" w:hAnsi="宋体" w:cs="宋体"/>
        </w:rPr>
      </w:pPr>
      <w:r>
        <w:rPr>
          <w:rFonts w:hint="eastAsia" w:ascii="宋体" w:hAnsi="宋体" w:cs="宋体"/>
        </w:rPr>
        <w:t>7.3.1在签订合同前，中标人应按投标人须知前附表规定的担保形式和</w:t>
      </w:r>
      <w:r>
        <w:rPr>
          <w:rFonts w:hint="eastAsia" w:ascii="宋体" w:hAnsi="宋体" w:cs="宋体"/>
          <w:lang w:eastAsia="zh-CN"/>
        </w:rPr>
        <w:t>遴选文件</w:t>
      </w:r>
      <w:r>
        <w:rPr>
          <w:rFonts w:hint="eastAsia" w:ascii="宋体" w:hAnsi="宋体" w:cs="宋体"/>
        </w:rPr>
        <w:t>第四章“合同条款及格式”规定的或者事先经过招标人书面认可的担保格式向招标人提交。</w:t>
      </w:r>
    </w:p>
    <w:p w14:paraId="5D2A3B04">
      <w:pPr>
        <w:spacing w:line="360" w:lineRule="auto"/>
        <w:ind w:firstLine="420" w:firstLineChars="200"/>
        <w:rPr>
          <w:rFonts w:ascii="宋体" w:hAnsi="宋体" w:cs="宋体"/>
        </w:rPr>
      </w:pPr>
      <w:r>
        <w:rPr>
          <w:rFonts w:hint="eastAsia" w:ascii="宋体" w:hAnsi="宋体" w:cs="宋体"/>
        </w:rPr>
        <w:t>7.3.2 中标人不能按本章第7.3.1项要求提交担保的，视为放弃中标，其投标保证金不予退还，给招标人造成的损失超过投标保证金数额的，中标人还应当对超过部分予以赔偿。</w:t>
      </w:r>
    </w:p>
    <w:p w14:paraId="1D61E3B9">
      <w:pPr>
        <w:spacing w:line="360" w:lineRule="auto"/>
        <w:ind w:firstLine="420" w:firstLineChars="200"/>
        <w:outlineLvl w:val="2"/>
        <w:rPr>
          <w:rFonts w:ascii="宋体" w:hAnsi="宋体" w:cs="宋体"/>
          <w:b/>
          <w:bCs/>
        </w:rPr>
      </w:pPr>
      <w:bookmarkStart w:id="217" w:name="_Toc179632588"/>
      <w:bookmarkStart w:id="218" w:name="_Toc152045570"/>
      <w:bookmarkStart w:id="219" w:name="_Toc493081607"/>
      <w:bookmarkStart w:id="220" w:name="_Toc487461293"/>
      <w:bookmarkStart w:id="221" w:name="_Toc152042346"/>
      <w:bookmarkStart w:id="222" w:name="_Toc144974538"/>
      <w:r>
        <w:rPr>
          <w:rFonts w:hint="eastAsia" w:ascii="宋体" w:hAnsi="宋体" w:cs="宋体"/>
          <w:b/>
          <w:bCs/>
        </w:rPr>
        <w:t>7.4 签订合同</w:t>
      </w:r>
      <w:bookmarkEnd w:id="217"/>
      <w:bookmarkEnd w:id="218"/>
      <w:bookmarkEnd w:id="219"/>
      <w:bookmarkEnd w:id="220"/>
      <w:bookmarkEnd w:id="221"/>
      <w:bookmarkEnd w:id="222"/>
    </w:p>
    <w:p w14:paraId="40F8C240">
      <w:pPr>
        <w:spacing w:line="360" w:lineRule="auto"/>
        <w:ind w:firstLine="420" w:firstLineChars="200"/>
        <w:rPr>
          <w:rFonts w:ascii="宋体" w:hAnsi="宋体" w:cs="宋体"/>
        </w:rPr>
      </w:pPr>
      <w:r>
        <w:rPr>
          <w:rFonts w:hint="eastAsia" w:ascii="宋体" w:hAnsi="宋体" w:cs="宋体"/>
        </w:rPr>
        <w:t>7.4.1招标人和中标人应当自中标通知书发出之日起30日内，严格按照</w:t>
      </w:r>
      <w:r>
        <w:rPr>
          <w:rFonts w:hint="eastAsia" w:ascii="宋体" w:hAnsi="宋体" w:cs="宋体"/>
          <w:lang w:eastAsia="zh-CN"/>
        </w:rPr>
        <w:t>遴选文件</w:t>
      </w:r>
      <w:r>
        <w:rPr>
          <w:rFonts w:hint="eastAsia" w:ascii="宋体" w:hAnsi="宋体" w:cs="宋体"/>
        </w:rPr>
        <w:t xml:space="preserve">和中标人的投标文件订立书面合同。中标人无正当理由拒签合同的，招标人取消其中标资格，其投标投标保证金不予退还；给招标人造成的损失超过投标保证金数额的，中标人还应当对超过部分予以赔偿。 </w:t>
      </w:r>
    </w:p>
    <w:p w14:paraId="58ED56C0">
      <w:pPr>
        <w:spacing w:line="360" w:lineRule="auto"/>
        <w:ind w:firstLine="420" w:firstLineChars="200"/>
        <w:rPr>
          <w:rFonts w:ascii="宋体" w:hAnsi="宋体" w:cs="宋体"/>
        </w:rPr>
      </w:pPr>
      <w:r>
        <w:rPr>
          <w:rFonts w:hint="eastAsia" w:ascii="宋体" w:hAnsi="宋体" w:cs="宋体"/>
        </w:rPr>
        <w:t>7.4.2 发出中标通知书后，招标人无正当理由拒签合同的，招标人</w:t>
      </w:r>
      <w:r>
        <w:rPr>
          <w:rFonts w:hint="eastAsia" w:ascii="宋体" w:hAnsi="宋体" w:cs="宋体"/>
          <w:lang w:val="en-US" w:eastAsia="zh-CN"/>
        </w:rPr>
        <w:t>没收其</w:t>
      </w:r>
      <w:r>
        <w:rPr>
          <w:rFonts w:hint="eastAsia" w:ascii="宋体" w:hAnsi="宋体" w:cs="宋体"/>
        </w:rPr>
        <w:t>投标保证金；</w:t>
      </w:r>
    </w:p>
    <w:p w14:paraId="4872241B">
      <w:pPr>
        <w:spacing w:line="360" w:lineRule="auto"/>
        <w:ind w:firstLine="420" w:firstLineChars="200"/>
        <w:outlineLvl w:val="2"/>
        <w:rPr>
          <w:rFonts w:ascii="宋体" w:hAnsi="宋体" w:cs="宋体"/>
          <w:b/>
          <w:bCs/>
        </w:rPr>
      </w:pPr>
      <w:r>
        <w:rPr>
          <w:rFonts w:hint="eastAsia" w:ascii="宋体" w:hAnsi="宋体" w:cs="宋体"/>
          <w:b/>
          <w:bCs/>
        </w:rPr>
        <w:t>7.5单个项目合同授予原则：</w:t>
      </w:r>
    </w:p>
    <w:p w14:paraId="0F63AB90">
      <w:pPr>
        <w:spacing w:line="360" w:lineRule="auto"/>
        <w:ind w:firstLine="420" w:firstLineChars="200"/>
        <w:outlineLvl w:val="2"/>
        <w:rPr>
          <w:rFonts w:ascii="宋体" w:hAnsi="宋体" w:cs="宋体"/>
          <w:b/>
          <w:bCs/>
        </w:rPr>
      </w:pPr>
      <w:r>
        <w:rPr>
          <w:rFonts w:hint="eastAsia" w:ascii="宋体" w:hAnsi="宋体" w:cs="宋体"/>
          <w:b/>
          <w:bCs/>
        </w:rPr>
        <w:t>本项目入库协议价，按照投标人须知前附表第9条执行。</w:t>
      </w:r>
    </w:p>
    <w:p w14:paraId="341CEE0F">
      <w:pPr>
        <w:spacing w:line="360" w:lineRule="auto"/>
        <w:ind w:firstLine="420" w:firstLineChars="200"/>
        <w:outlineLvl w:val="1"/>
        <w:rPr>
          <w:rFonts w:ascii="宋体" w:hAnsi="宋体" w:cs="宋体"/>
          <w:b/>
          <w:bCs/>
        </w:rPr>
      </w:pPr>
      <w:bookmarkStart w:id="223" w:name="_Toc487641638"/>
      <w:bookmarkStart w:id="224" w:name="_Toc152042347"/>
      <w:bookmarkStart w:id="225" w:name="_Toc18349"/>
      <w:bookmarkStart w:id="226" w:name="_Toc144974539"/>
      <w:bookmarkStart w:id="227" w:name="_Toc487461294"/>
      <w:bookmarkStart w:id="228" w:name="_Toc1092"/>
      <w:bookmarkStart w:id="229" w:name="_Toc179632589"/>
      <w:bookmarkStart w:id="230" w:name="_Toc152045571"/>
      <w:bookmarkStart w:id="231" w:name="_Toc493081608"/>
      <w:r>
        <w:rPr>
          <w:rFonts w:hint="eastAsia" w:ascii="宋体" w:hAnsi="宋体" w:cs="宋体"/>
          <w:b/>
          <w:bCs/>
        </w:rPr>
        <w:t>在协议期限内，按照项目先后的时间次序，有项目A、项目B、项目C……，项目A由招标人从所有入围单位中随机抽取1家，项目B从该入围单位中所有入围单位前一次未被抽中的单位中按上述方式继续进行，项目C则从所有入围单位前两次均未被抽中的单位中继续进行，以此类推，所有入围单位抽完后重新开始新一轮抽签，抽签规则不变；抽中的项目，如因特殊原因取消不实施，招标人不给予调整替换项目。</w:t>
      </w:r>
      <w:r>
        <w:rPr>
          <w:rFonts w:hint="eastAsia" w:ascii="宋体" w:hAnsi="宋体" w:cs="宋体"/>
          <w:b/>
          <w:bCs/>
          <w:lang w:val="en-US" w:eastAsia="zh-CN"/>
        </w:rPr>
        <w:t>每季度</w:t>
      </w:r>
      <w:r>
        <w:rPr>
          <w:rFonts w:hint="eastAsia" w:ascii="宋体" w:hAnsi="宋体" w:cs="宋体"/>
          <w:b/>
          <w:bCs/>
        </w:rPr>
        <w:t>完成后，</w:t>
      </w:r>
      <w:r>
        <w:rPr>
          <w:rFonts w:hint="eastAsia" w:ascii="宋体" w:hAnsi="宋体" w:cs="宋体"/>
          <w:b/>
          <w:bCs/>
          <w:lang w:val="en-US" w:eastAsia="zh-CN"/>
        </w:rPr>
        <w:t>阜阳充电桩有限责任公司</w:t>
      </w:r>
      <w:r>
        <w:rPr>
          <w:rFonts w:hint="eastAsia" w:ascii="宋体" w:hAnsi="宋体" w:cs="宋体"/>
          <w:b/>
          <w:bCs/>
        </w:rPr>
        <w:t>服务需求部门将对服务质量进行评价、打分、评级，最差者可能会被停抽。</w:t>
      </w:r>
    </w:p>
    <w:p w14:paraId="628D6E52">
      <w:pPr>
        <w:spacing w:line="360" w:lineRule="auto"/>
        <w:ind w:firstLine="420" w:firstLineChars="200"/>
        <w:outlineLvl w:val="1"/>
        <w:rPr>
          <w:rFonts w:ascii="宋体" w:hAnsi="宋体" w:cs="宋体"/>
          <w:b/>
          <w:bCs/>
        </w:rPr>
      </w:pPr>
      <w:r>
        <w:rPr>
          <w:rFonts w:hint="eastAsia" w:ascii="宋体" w:hAnsi="宋体" w:cs="宋体"/>
          <w:b/>
          <w:bCs/>
        </w:rPr>
        <w:t>特殊项目或招标人认为必要的项目，在项目实施前由招标人召集各入库单位再次进行报价，根据报价结果选择实施单位。若库内单位不能满足需要或需求部门有指定单位的，则由招标人或需求部门直接指定。</w:t>
      </w:r>
    </w:p>
    <w:p w14:paraId="68CDCA7B">
      <w:pPr>
        <w:spacing w:line="360" w:lineRule="auto"/>
        <w:ind w:firstLine="420" w:firstLineChars="200"/>
        <w:outlineLvl w:val="1"/>
        <w:rPr>
          <w:rFonts w:ascii="宋体" w:hAnsi="宋体" w:cs="宋体"/>
          <w:b/>
          <w:bCs/>
        </w:rPr>
      </w:pPr>
      <w:r>
        <w:rPr>
          <w:rFonts w:hint="eastAsia" w:ascii="宋体" w:hAnsi="宋体" w:cs="宋体"/>
          <w:b/>
          <w:bCs/>
        </w:rPr>
        <w:t>被抽到的入库单位不按入库协议价格签订合同的将取消被抽资格，对严重干扰工作的将清除入库。</w:t>
      </w:r>
    </w:p>
    <w:p w14:paraId="39EDF461">
      <w:pPr>
        <w:spacing w:line="360" w:lineRule="auto"/>
        <w:ind w:firstLine="420" w:firstLineChars="200"/>
        <w:outlineLvl w:val="1"/>
        <w:rPr>
          <w:rFonts w:ascii="宋体" w:hAnsi="宋体" w:cs="宋体"/>
          <w:b/>
          <w:bCs/>
        </w:rPr>
      </w:pPr>
      <w:r>
        <w:rPr>
          <w:rFonts w:hint="eastAsia" w:ascii="宋体" w:hAnsi="宋体" w:cs="宋体"/>
          <w:b/>
          <w:bCs/>
        </w:rPr>
        <w:t xml:space="preserve">8. </w:t>
      </w:r>
      <w:bookmarkEnd w:id="223"/>
      <w:bookmarkEnd w:id="224"/>
      <w:bookmarkEnd w:id="225"/>
      <w:bookmarkEnd w:id="226"/>
      <w:bookmarkEnd w:id="227"/>
      <w:bookmarkEnd w:id="228"/>
      <w:bookmarkEnd w:id="229"/>
      <w:bookmarkEnd w:id="230"/>
      <w:bookmarkEnd w:id="231"/>
      <w:r>
        <w:rPr>
          <w:rFonts w:hint="eastAsia" w:ascii="宋体" w:hAnsi="宋体" w:cs="宋体"/>
          <w:b/>
          <w:bCs/>
        </w:rPr>
        <w:t>废标情形</w:t>
      </w:r>
    </w:p>
    <w:p w14:paraId="7AA9A17B">
      <w:pPr>
        <w:spacing w:line="360" w:lineRule="auto"/>
        <w:ind w:firstLine="420" w:firstLineChars="200"/>
        <w:rPr>
          <w:rFonts w:ascii="宋体" w:hAnsi="宋体" w:cs="宋体"/>
        </w:rPr>
      </w:pPr>
      <w:bookmarkStart w:id="232" w:name="_Toc487641639"/>
      <w:bookmarkStart w:id="233" w:name="_Toc493081609"/>
      <w:bookmarkStart w:id="234" w:name="_Toc487461295"/>
      <w:bookmarkStart w:id="235" w:name="_Toc152045574"/>
      <w:bookmarkStart w:id="236" w:name="_Toc152042350"/>
      <w:bookmarkStart w:id="237" w:name="_Toc179632592"/>
      <w:bookmarkStart w:id="238" w:name="_Toc144974542"/>
      <w:bookmarkStart w:id="239" w:name="_Toc13946"/>
      <w:bookmarkStart w:id="240" w:name="_Toc29170"/>
      <w:r>
        <w:rPr>
          <w:rFonts w:hint="eastAsia" w:ascii="宋体" w:hAnsi="宋体" w:cs="宋体"/>
        </w:rPr>
        <w:t>8.1在招标过程中，出现下列情形之一的，予以废标：</w:t>
      </w:r>
    </w:p>
    <w:p w14:paraId="36961312">
      <w:pPr>
        <w:spacing w:line="360" w:lineRule="auto"/>
        <w:ind w:firstLine="420" w:firstLineChars="200"/>
        <w:rPr>
          <w:rFonts w:ascii="宋体" w:hAnsi="宋体" w:cs="宋体"/>
        </w:rPr>
      </w:pPr>
      <w:r>
        <w:rPr>
          <w:rFonts w:hint="eastAsia" w:ascii="宋体" w:hAnsi="宋体" w:cs="宋体"/>
        </w:rPr>
        <w:t>（1）出现影响招标公正的违法、违规行为的；</w:t>
      </w:r>
    </w:p>
    <w:p w14:paraId="06F62983">
      <w:pPr>
        <w:spacing w:line="360" w:lineRule="auto"/>
        <w:ind w:firstLine="420" w:firstLineChars="200"/>
        <w:rPr>
          <w:rFonts w:ascii="宋体" w:hAnsi="宋体" w:cs="宋体"/>
        </w:rPr>
      </w:pPr>
      <w:r>
        <w:rPr>
          <w:rFonts w:hint="eastAsia" w:ascii="宋体" w:hAnsi="宋体" w:cs="宋体"/>
        </w:rPr>
        <w:t>（2）因重大变故，招标任务取消的；</w:t>
      </w:r>
    </w:p>
    <w:p w14:paraId="23FA1135">
      <w:pPr>
        <w:spacing w:line="360" w:lineRule="auto"/>
        <w:ind w:firstLine="420" w:firstLineChars="200"/>
        <w:rPr>
          <w:rFonts w:ascii="宋体" w:hAnsi="宋体" w:cs="宋体"/>
        </w:rPr>
      </w:pPr>
      <w:r>
        <w:rPr>
          <w:rFonts w:hint="eastAsia" w:ascii="宋体" w:hAnsi="宋体" w:cs="宋体"/>
        </w:rPr>
        <w:t>废标后，招标人将废标理由通知所有投标人。</w:t>
      </w:r>
    </w:p>
    <w:p w14:paraId="113FF8A0">
      <w:pPr>
        <w:spacing w:line="360" w:lineRule="auto"/>
        <w:outlineLvl w:val="1"/>
        <w:rPr>
          <w:rFonts w:ascii="宋体" w:hAnsi="宋体" w:cs="宋体"/>
          <w:b/>
          <w:bCs/>
        </w:rPr>
      </w:pPr>
      <w:r>
        <w:rPr>
          <w:rFonts w:hint="eastAsia" w:ascii="宋体" w:hAnsi="宋体" w:cs="宋体"/>
          <w:b/>
          <w:bCs/>
        </w:rPr>
        <w:t>9. 纪律和监督</w:t>
      </w:r>
      <w:bookmarkEnd w:id="232"/>
      <w:bookmarkEnd w:id="233"/>
      <w:bookmarkEnd w:id="234"/>
      <w:bookmarkEnd w:id="235"/>
      <w:bookmarkEnd w:id="236"/>
      <w:bookmarkEnd w:id="237"/>
      <w:bookmarkEnd w:id="238"/>
      <w:bookmarkEnd w:id="239"/>
      <w:bookmarkEnd w:id="240"/>
    </w:p>
    <w:p w14:paraId="4DE6858A">
      <w:pPr>
        <w:spacing w:line="360" w:lineRule="auto"/>
        <w:ind w:firstLine="420" w:firstLineChars="200"/>
        <w:outlineLvl w:val="2"/>
        <w:rPr>
          <w:rFonts w:ascii="宋体" w:hAnsi="宋体" w:cs="宋体"/>
          <w:b/>
          <w:bCs/>
        </w:rPr>
      </w:pPr>
      <w:bookmarkStart w:id="241" w:name="_Toc152045575"/>
      <w:bookmarkStart w:id="242" w:name="_Toc493081610"/>
      <w:bookmarkStart w:id="243" w:name="_Toc152042351"/>
      <w:bookmarkStart w:id="244" w:name="_Toc179632593"/>
      <w:bookmarkStart w:id="245" w:name="_Toc487461296"/>
      <w:bookmarkStart w:id="246" w:name="_Toc144974543"/>
      <w:r>
        <w:rPr>
          <w:rFonts w:hint="eastAsia" w:ascii="宋体" w:hAnsi="宋体" w:cs="宋体"/>
          <w:b/>
          <w:bCs/>
        </w:rPr>
        <w:t>9.1 对招标人的纪律要求</w:t>
      </w:r>
      <w:bookmarkEnd w:id="241"/>
      <w:bookmarkEnd w:id="242"/>
      <w:bookmarkEnd w:id="243"/>
      <w:bookmarkEnd w:id="244"/>
      <w:bookmarkEnd w:id="245"/>
      <w:bookmarkEnd w:id="246"/>
    </w:p>
    <w:p w14:paraId="67FFC715">
      <w:pPr>
        <w:spacing w:line="360" w:lineRule="auto"/>
        <w:ind w:firstLine="420" w:firstLineChars="200"/>
        <w:rPr>
          <w:rFonts w:ascii="宋体" w:hAnsi="宋体" w:cs="宋体"/>
        </w:rPr>
      </w:pPr>
      <w:r>
        <w:rPr>
          <w:rFonts w:hint="eastAsia" w:ascii="宋体" w:hAnsi="宋体" w:cs="宋体"/>
        </w:rPr>
        <w:t>招标人不得泄漏招标投标活动中应当保密的情况和资料，不得与投标人串通损害国家利益、社会公共利益或者他人合法权益。</w:t>
      </w:r>
    </w:p>
    <w:p w14:paraId="144E7A68">
      <w:pPr>
        <w:spacing w:line="360" w:lineRule="auto"/>
        <w:ind w:firstLine="420" w:firstLineChars="200"/>
        <w:outlineLvl w:val="2"/>
        <w:rPr>
          <w:rFonts w:ascii="宋体" w:hAnsi="宋体" w:cs="宋体"/>
          <w:b/>
          <w:bCs/>
        </w:rPr>
      </w:pPr>
      <w:bookmarkStart w:id="247" w:name="_Toc487461297"/>
      <w:bookmarkStart w:id="248" w:name="_Toc179632594"/>
      <w:bookmarkStart w:id="249" w:name="_Toc144974544"/>
      <w:bookmarkStart w:id="250" w:name="_Toc152042352"/>
      <w:bookmarkStart w:id="251" w:name="_Toc152045576"/>
      <w:bookmarkStart w:id="252" w:name="_Toc493081611"/>
      <w:r>
        <w:rPr>
          <w:rFonts w:hint="eastAsia" w:ascii="宋体" w:hAnsi="宋体" w:cs="宋体"/>
          <w:b/>
          <w:bCs/>
        </w:rPr>
        <w:t>9.2 对投标人的纪律要求</w:t>
      </w:r>
      <w:bookmarkEnd w:id="247"/>
      <w:bookmarkEnd w:id="248"/>
      <w:bookmarkEnd w:id="249"/>
      <w:bookmarkEnd w:id="250"/>
      <w:bookmarkEnd w:id="251"/>
      <w:bookmarkEnd w:id="252"/>
    </w:p>
    <w:p w14:paraId="27B53D57">
      <w:pPr>
        <w:spacing w:line="360" w:lineRule="auto"/>
        <w:ind w:firstLine="420" w:firstLineChars="200"/>
        <w:rPr>
          <w:rFonts w:ascii="宋体" w:hAnsi="宋体" w:cs="宋体"/>
        </w:rPr>
      </w:pPr>
      <w:bookmarkStart w:id="253" w:name="_Toc144974545"/>
      <w:bookmarkStart w:id="254" w:name="_Toc179632595"/>
      <w:bookmarkStart w:id="255" w:name="_Toc152045577"/>
      <w:bookmarkStart w:id="256" w:name="_Toc152042353"/>
      <w:r>
        <w:rPr>
          <w:rFonts w:hint="eastAsia" w:ascii="宋体" w:hAnsi="宋体" w:cs="宋体"/>
        </w:rPr>
        <w:t>投标人不得相互串通投标或者与招标人串通投标，不得向招标人或者评标委员会成员行贿谋取中标，不得以他人名义投标或者以其他方式弄虚作假骗取中标；投标人不得以任何方式干扰、影响评标工作。如投标人存在围标、串标、以他人名义投标、弄虚作假、恶意投诉、虚假投诉等行为的、经查证属实的，其提交的投标保证金不予退还，并上报相关部门记入诚信档案，一定期限内不得参与阜阳投资发展集团有限公司公共资源交易活动。</w:t>
      </w:r>
    </w:p>
    <w:p w14:paraId="4B85852F">
      <w:pPr>
        <w:spacing w:line="360" w:lineRule="auto"/>
        <w:ind w:firstLine="420" w:firstLineChars="200"/>
        <w:outlineLvl w:val="2"/>
        <w:rPr>
          <w:rFonts w:ascii="宋体" w:hAnsi="宋体" w:cs="宋体"/>
          <w:b/>
          <w:bCs/>
        </w:rPr>
      </w:pPr>
      <w:bookmarkStart w:id="257" w:name="_Toc487461298"/>
      <w:bookmarkStart w:id="258" w:name="_Toc493081612"/>
      <w:r>
        <w:rPr>
          <w:rFonts w:hint="eastAsia" w:ascii="宋体" w:hAnsi="宋体" w:cs="宋体"/>
          <w:b/>
          <w:bCs/>
        </w:rPr>
        <w:t>9.3 对评标委员会成员的纪律要求</w:t>
      </w:r>
      <w:bookmarkEnd w:id="253"/>
      <w:bookmarkEnd w:id="254"/>
      <w:bookmarkEnd w:id="255"/>
      <w:bookmarkEnd w:id="256"/>
      <w:bookmarkEnd w:id="257"/>
      <w:bookmarkEnd w:id="258"/>
    </w:p>
    <w:p w14:paraId="0B6ED608">
      <w:pPr>
        <w:spacing w:line="360" w:lineRule="auto"/>
        <w:ind w:firstLine="420" w:firstLineChars="200"/>
        <w:rPr>
          <w:rFonts w:ascii="宋体" w:hAnsi="宋体" w:cs="宋体"/>
        </w:rPr>
      </w:pPr>
      <w:r>
        <w:rPr>
          <w:rFonts w:hint="eastAsia" w:ascii="宋体" w:hAnsi="宋体" w:cs="宋体"/>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14:paraId="65483711">
      <w:pPr>
        <w:spacing w:line="360" w:lineRule="auto"/>
        <w:ind w:firstLine="420" w:firstLineChars="200"/>
        <w:outlineLvl w:val="2"/>
        <w:rPr>
          <w:rFonts w:ascii="宋体" w:hAnsi="宋体" w:cs="宋体"/>
          <w:b/>
          <w:bCs/>
        </w:rPr>
      </w:pPr>
      <w:bookmarkStart w:id="259" w:name="_Toc152042354"/>
      <w:bookmarkStart w:id="260" w:name="_Toc179632596"/>
      <w:bookmarkStart w:id="261" w:name="_Toc152045578"/>
      <w:bookmarkStart w:id="262" w:name="_Toc487461299"/>
      <w:bookmarkStart w:id="263" w:name="_Toc493081613"/>
      <w:bookmarkStart w:id="264" w:name="_Toc144974546"/>
      <w:r>
        <w:rPr>
          <w:rFonts w:hint="eastAsia" w:ascii="宋体" w:hAnsi="宋体" w:cs="宋体"/>
          <w:b/>
          <w:bCs/>
        </w:rPr>
        <w:t>9.4 对与评标活动有关的工作人员的纪律要求</w:t>
      </w:r>
      <w:bookmarkEnd w:id="259"/>
      <w:bookmarkEnd w:id="260"/>
      <w:bookmarkEnd w:id="261"/>
      <w:bookmarkEnd w:id="262"/>
      <w:bookmarkEnd w:id="263"/>
    </w:p>
    <w:p w14:paraId="5F9FAFA0">
      <w:pPr>
        <w:spacing w:line="360" w:lineRule="auto"/>
        <w:ind w:firstLine="420" w:firstLineChars="200"/>
        <w:rPr>
          <w:rFonts w:ascii="宋体" w:hAnsi="宋体" w:cs="宋体"/>
        </w:rPr>
      </w:pPr>
      <w:bookmarkStart w:id="265" w:name="_Toc152042355"/>
      <w:r>
        <w:rPr>
          <w:rFonts w:hint="eastAsia" w:ascii="宋体" w:hAnsi="宋体" w:cs="宋体"/>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265"/>
    </w:p>
    <w:p w14:paraId="77A3DC5F">
      <w:pPr>
        <w:spacing w:line="360" w:lineRule="auto"/>
        <w:ind w:firstLine="420" w:firstLineChars="200"/>
        <w:outlineLvl w:val="2"/>
        <w:rPr>
          <w:rFonts w:ascii="宋体" w:hAnsi="宋体" w:cs="宋体"/>
          <w:b/>
          <w:bCs/>
        </w:rPr>
      </w:pPr>
      <w:bookmarkStart w:id="266" w:name="_Toc487461300"/>
      <w:bookmarkStart w:id="267" w:name="_Toc493081614"/>
      <w:bookmarkStart w:id="268" w:name="_Toc152042356"/>
      <w:bookmarkStart w:id="269" w:name="_Toc152045579"/>
      <w:bookmarkStart w:id="270" w:name="_Toc179632597"/>
      <w:r>
        <w:rPr>
          <w:rFonts w:hint="eastAsia" w:ascii="宋体" w:hAnsi="宋体" w:cs="宋体"/>
          <w:b/>
          <w:bCs/>
        </w:rPr>
        <w:t>9.5异议、投诉</w:t>
      </w:r>
      <w:bookmarkEnd w:id="266"/>
      <w:bookmarkEnd w:id="267"/>
    </w:p>
    <w:bookmarkEnd w:id="264"/>
    <w:bookmarkEnd w:id="268"/>
    <w:bookmarkEnd w:id="269"/>
    <w:bookmarkEnd w:id="270"/>
    <w:p w14:paraId="1D29E905">
      <w:pPr>
        <w:spacing w:line="360" w:lineRule="auto"/>
        <w:ind w:firstLine="420" w:firstLineChars="200"/>
        <w:rPr>
          <w:rFonts w:ascii="宋体" w:hAnsi="宋体" w:cs="宋体"/>
        </w:rPr>
      </w:pPr>
      <w:bookmarkStart w:id="271" w:name="_Toc179632598"/>
      <w:bookmarkStart w:id="272" w:name="_Toc152042357"/>
      <w:bookmarkStart w:id="273" w:name="_Toc144974547"/>
      <w:bookmarkStart w:id="274" w:name="_Toc152045580"/>
      <w:r>
        <w:rPr>
          <w:rFonts w:hint="eastAsia" w:ascii="宋体" w:hAnsi="宋体" w:cs="宋体"/>
        </w:rPr>
        <w:t>投标人和其他利害关系人认为招标投标活动不符合法律、行政法规和规章规定的,可按照相关规定向招标人提出质疑。</w:t>
      </w:r>
    </w:p>
    <w:p w14:paraId="1B0B147D">
      <w:pPr>
        <w:spacing w:line="360" w:lineRule="auto"/>
        <w:ind w:firstLine="420" w:firstLineChars="200"/>
        <w:rPr>
          <w:rFonts w:ascii="宋体" w:hAnsi="宋体" w:cs="宋体"/>
        </w:rPr>
      </w:pPr>
      <w:r>
        <w:rPr>
          <w:rFonts w:hint="eastAsia" w:ascii="宋体" w:hAnsi="宋体" w:cs="宋体"/>
        </w:rPr>
        <w:t>招标人不受理投标人逾期提出的质疑。招标人收到质疑后，未在3个工作日内作出答复的，不再对质疑进行处理。</w:t>
      </w:r>
    </w:p>
    <w:p w14:paraId="2E459DC8">
      <w:pPr>
        <w:pStyle w:val="25"/>
        <w:ind w:firstLine="420" w:firstLineChars="200"/>
        <w:jc w:val="both"/>
        <w:rPr>
          <w:rFonts w:ascii="宋体" w:hAnsi="宋体" w:eastAsia="宋体" w:cs="宋体"/>
          <w:b/>
          <w:bCs/>
          <w:sz w:val="21"/>
          <w:szCs w:val="21"/>
        </w:rPr>
      </w:pPr>
      <w:r>
        <w:rPr>
          <w:rFonts w:hint="eastAsia" w:ascii="宋体" w:hAnsi="宋体" w:eastAsia="宋体" w:cs="宋体"/>
          <w:b/>
          <w:bCs/>
          <w:sz w:val="21"/>
          <w:szCs w:val="21"/>
        </w:rPr>
        <w:t>1</w:t>
      </w:r>
      <w:r>
        <w:rPr>
          <w:rFonts w:ascii="宋体" w:hAnsi="宋体" w:eastAsia="宋体" w:cs="宋体"/>
          <w:b/>
          <w:bCs/>
          <w:sz w:val="21"/>
          <w:szCs w:val="21"/>
        </w:rPr>
        <w:t>0</w:t>
      </w:r>
      <w:r>
        <w:rPr>
          <w:rFonts w:hint="eastAsia" w:ascii="宋体" w:hAnsi="宋体" w:eastAsia="宋体" w:cs="宋体"/>
          <w:b/>
          <w:bCs/>
          <w:sz w:val="21"/>
          <w:szCs w:val="21"/>
        </w:rPr>
        <w:t>、</w:t>
      </w:r>
      <w:r>
        <w:rPr>
          <w:rFonts w:hint="eastAsia" w:ascii="宋体" w:hAnsi="宋体" w:eastAsia="宋体" w:cs="宋体"/>
          <w:b/>
          <w:bCs/>
          <w:sz w:val="21"/>
          <w:szCs w:val="21"/>
          <w:lang w:val="en-US" w:eastAsia="zh-CN"/>
        </w:rPr>
        <w:t>终止</w:t>
      </w:r>
      <w:r>
        <w:rPr>
          <w:rFonts w:hint="eastAsia" w:ascii="宋体" w:hAnsi="宋体" w:eastAsia="宋体" w:cs="宋体"/>
          <w:b/>
          <w:bCs/>
          <w:sz w:val="21"/>
          <w:szCs w:val="21"/>
        </w:rPr>
        <w:t>招标</w:t>
      </w:r>
    </w:p>
    <w:p w14:paraId="05D20221">
      <w:pPr>
        <w:keepNext/>
        <w:keepLines/>
        <w:spacing w:line="400" w:lineRule="exact"/>
        <w:ind w:firstLine="470" w:firstLineChars="196"/>
        <w:outlineLvl w:val="2"/>
        <w:rPr>
          <w:rFonts w:ascii="宋体" w:hAnsi="Calibri" w:cs="宋体"/>
          <w:b/>
          <w:bCs/>
          <w:sz w:val="24"/>
          <w:szCs w:val="24"/>
        </w:rPr>
      </w:pPr>
      <w:r>
        <w:rPr>
          <w:rFonts w:ascii="宋体" w:hAnsi="Calibri" w:cs="宋体"/>
          <w:b/>
          <w:bCs/>
          <w:sz w:val="24"/>
          <w:szCs w:val="24"/>
        </w:rPr>
        <w:t>10</w:t>
      </w:r>
      <w:r>
        <w:rPr>
          <w:rFonts w:hint="eastAsia" w:ascii="宋体" w:hAnsi="Calibri" w:cs="宋体"/>
          <w:b/>
          <w:bCs/>
          <w:sz w:val="24"/>
          <w:szCs w:val="24"/>
        </w:rPr>
        <w:t>.1有下列情形之一的：</w:t>
      </w:r>
    </w:p>
    <w:p w14:paraId="774B0E0C">
      <w:pPr>
        <w:spacing w:line="360" w:lineRule="auto"/>
        <w:ind w:firstLine="420" w:firstLineChars="200"/>
        <w:rPr>
          <w:rFonts w:hint="eastAsia" w:ascii="宋体" w:hAnsi="宋体" w:eastAsia="宋体" w:cs="宋体"/>
        </w:rPr>
      </w:pPr>
      <w:r>
        <w:rPr>
          <w:rFonts w:hint="eastAsia" w:ascii="宋体" w:hAnsi="宋体" w:eastAsia="宋体" w:cs="宋体"/>
        </w:rPr>
        <w:t>（1）因重大变故，招标任务取消的；</w:t>
      </w:r>
    </w:p>
    <w:p w14:paraId="5C634834">
      <w:pPr>
        <w:spacing w:line="360" w:lineRule="auto"/>
        <w:ind w:firstLine="420" w:firstLineChars="200"/>
        <w:rPr>
          <w:rFonts w:hint="eastAsia" w:ascii="宋体" w:hAnsi="宋体" w:eastAsia="宋体" w:cs="宋体"/>
        </w:rPr>
      </w:pPr>
      <w:r>
        <w:rPr>
          <w:rFonts w:hint="eastAsia" w:ascii="宋体" w:hAnsi="宋体" w:eastAsia="宋体" w:cs="宋体"/>
        </w:rPr>
        <w:t>（2）经评标委员会评审后否决所有投标的。</w:t>
      </w:r>
    </w:p>
    <w:p w14:paraId="74A1DDE0">
      <w:pPr>
        <w:spacing w:line="360" w:lineRule="auto"/>
        <w:ind w:firstLine="420" w:firstLineChars="200"/>
        <w:outlineLvl w:val="1"/>
        <w:rPr>
          <w:rFonts w:ascii="宋体" w:hAnsi="宋体" w:cs="宋体"/>
          <w:b/>
          <w:bCs/>
        </w:rPr>
      </w:pPr>
      <w:bookmarkStart w:id="275" w:name="_Toc487641640"/>
      <w:bookmarkStart w:id="276" w:name="_Toc493081615"/>
      <w:bookmarkStart w:id="277" w:name="_Toc487461301"/>
      <w:r>
        <w:rPr>
          <w:rFonts w:hint="eastAsia" w:ascii="宋体" w:hAnsi="宋体" w:cs="宋体"/>
          <w:b/>
          <w:bCs/>
        </w:rPr>
        <w:t>1</w:t>
      </w:r>
      <w:r>
        <w:rPr>
          <w:rFonts w:ascii="宋体" w:hAnsi="宋体" w:cs="宋体"/>
          <w:b/>
          <w:bCs/>
        </w:rPr>
        <w:t>1</w:t>
      </w:r>
      <w:r>
        <w:rPr>
          <w:rFonts w:hint="eastAsia" w:ascii="宋体" w:hAnsi="宋体" w:cs="宋体"/>
          <w:b/>
          <w:bCs/>
        </w:rPr>
        <w:t>. 需要补充的其他内容</w:t>
      </w:r>
      <w:bookmarkEnd w:id="271"/>
      <w:bookmarkEnd w:id="272"/>
      <w:bookmarkEnd w:id="273"/>
      <w:bookmarkEnd w:id="274"/>
      <w:bookmarkEnd w:id="275"/>
      <w:bookmarkEnd w:id="276"/>
      <w:bookmarkEnd w:id="277"/>
    </w:p>
    <w:p w14:paraId="0C46AB12">
      <w:pPr>
        <w:spacing w:line="360" w:lineRule="auto"/>
        <w:ind w:firstLine="420" w:firstLineChars="200"/>
        <w:rPr>
          <w:rFonts w:hint="eastAsia" w:ascii="宋体" w:hAnsi="宋体" w:eastAsia="宋体" w:cs="宋体"/>
        </w:rPr>
      </w:pPr>
      <w:r>
        <w:rPr>
          <w:rFonts w:hint="eastAsia" w:ascii="宋体" w:hAnsi="宋体" w:eastAsia="宋体" w:cs="宋体"/>
        </w:rPr>
        <w:t>11.1入库及合同履约期间，入库单位因违法违纪、重大责任事故或被相关行业管行业管理部门通报批评、整改、建议注销或处罚的，招标人有权立即终止合同，取消入库资格，没收履约保证金，并保留对其进一步处理的权利。</w:t>
      </w:r>
    </w:p>
    <w:p w14:paraId="18F41743">
      <w:pPr>
        <w:spacing w:line="360" w:lineRule="auto"/>
        <w:ind w:firstLine="420" w:firstLineChars="200"/>
        <w:rPr>
          <w:rFonts w:hint="eastAsia" w:ascii="宋体" w:hAnsi="宋体" w:eastAsia="宋体" w:cs="宋体"/>
        </w:rPr>
      </w:pPr>
      <w:r>
        <w:rPr>
          <w:rFonts w:hint="eastAsia" w:ascii="宋体" w:hAnsi="宋体" w:eastAsia="宋体" w:cs="宋体"/>
        </w:rPr>
        <w:t>11.2 《</w:t>
      </w:r>
      <w:r>
        <w:rPr>
          <w:rFonts w:hint="eastAsia" w:ascii="宋体" w:hAnsi="宋体" w:cs="宋体"/>
          <w:lang w:eastAsia="zh-CN"/>
        </w:rPr>
        <w:t>2026-2027年阜充电充电桩维保及场站零星维修供应商库</w:t>
      </w:r>
      <w:r>
        <w:rPr>
          <w:rFonts w:hint="eastAsia" w:ascii="宋体" w:hAnsi="宋体" w:eastAsia="宋体" w:cs="宋体"/>
        </w:rPr>
        <w:t>考核方案》如下：</w:t>
      </w:r>
    </w:p>
    <w:p w14:paraId="108338B5">
      <w:pPr>
        <w:spacing w:line="360" w:lineRule="auto"/>
        <w:ind w:firstLine="420" w:firstLineChars="200"/>
        <w:rPr>
          <w:rFonts w:hint="eastAsia" w:ascii="宋体" w:hAnsi="宋体" w:eastAsia="宋体" w:cs="宋体"/>
        </w:rPr>
      </w:pPr>
      <w:r>
        <w:rPr>
          <w:rFonts w:hint="eastAsia" w:ascii="宋体" w:hAnsi="宋体" w:eastAsia="宋体" w:cs="宋体"/>
        </w:rPr>
        <w:t>为加强对</w:t>
      </w:r>
      <w:r>
        <w:rPr>
          <w:rFonts w:hint="eastAsia" w:ascii="宋体" w:hAnsi="宋体" w:cs="宋体"/>
          <w:lang w:val="en-US" w:eastAsia="zh-CN"/>
        </w:rPr>
        <w:t>充电桩维修</w:t>
      </w:r>
      <w:r>
        <w:rPr>
          <w:rFonts w:hint="eastAsia" w:ascii="宋体" w:hAnsi="宋体" w:eastAsia="宋体" w:cs="宋体"/>
        </w:rPr>
        <w:t>供应商管理，提高</w:t>
      </w:r>
      <w:r>
        <w:rPr>
          <w:rFonts w:hint="eastAsia" w:ascii="宋体" w:hAnsi="宋体" w:cs="宋体"/>
          <w:lang w:val="en-US" w:eastAsia="zh-CN"/>
        </w:rPr>
        <w:t>充电桩维修</w:t>
      </w:r>
      <w:r>
        <w:rPr>
          <w:rFonts w:hint="eastAsia" w:ascii="宋体" w:hAnsi="宋体" w:eastAsia="宋体" w:cs="宋体"/>
        </w:rPr>
        <w:t>供应商</w:t>
      </w:r>
      <w:r>
        <w:rPr>
          <w:rFonts w:hint="eastAsia" w:ascii="宋体" w:hAnsi="宋体" w:cs="宋体"/>
          <w:lang w:val="en-US" w:eastAsia="zh-CN"/>
        </w:rPr>
        <w:t>维修服务</w:t>
      </w:r>
      <w:r>
        <w:rPr>
          <w:rFonts w:hint="eastAsia" w:ascii="宋体" w:hAnsi="宋体" w:eastAsia="宋体" w:cs="宋体"/>
        </w:rPr>
        <w:t>和</w:t>
      </w:r>
      <w:r>
        <w:rPr>
          <w:rFonts w:hint="eastAsia" w:ascii="宋体" w:hAnsi="宋体" w:cs="宋体"/>
          <w:lang w:val="en-US" w:eastAsia="zh-CN"/>
        </w:rPr>
        <w:t>维修</w:t>
      </w:r>
      <w:r>
        <w:rPr>
          <w:rFonts w:hint="eastAsia" w:ascii="宋体" w:hAnsi="宋体" w:eastAsia="宋体" w:cs="宋体"/>
        </w:rPr>
        <w:t>效率制定本办法。</w:t>
      </w:r>
      <w:r>
        <w:rPr>
          <w:rFonts w:hint="eastAsia" w:ascii="宋体" w:hAnsi="宋体" w:eastAsia="宋体" w:cs="宋体"/>
        </w:rPr>
        <w:br w:type="textWrapping"/>
      </w:r>
      <w:r>
        <w:rPr>
          <w:rFonts w:hint="eastAsia" w:ascii="宋体" w:hAnsi="宋体" w:cs="仿宋_GB2312"/>
          <w:sz w:val="24"/>
          <w:szCs w:val="24"/>
          <w:shd w:val="clear" w:color="auto" w:fill="FFFFFF"/>
        </w:rPr>
        <w:t>　　</w:t>
      </w:r>
      <w:r>
        <w:rPr>
          <w:rFonts w:ascii="宋体" w:hAnsi="宋体" w:cs="仿宋_GB2312"/>
          <w:b/>
          <w:bCs/>
          <w:sz w:val="24"/>
          <w:szCs w:val="24"/>
          <w:shd w:val="clear" w:color="auto" w:fill="FFFFFF"/>
        </w:rPr>
        <w:t>11</w:t>
      </w:r>
      <w:r>
        <w:rPr>
          <w:rFonts w:hint="eastAsia" w:ascii="宋体" w:hAnsi="宋体" w:cs="仿宋_GB2312"/>
          <w:b/>
          <w:bCs/>
          <w:sz w:val="24"/>
          <w:szCs w:val="24"/>
          <w:shd w:val="clear" w:color="auto" w:fill="FFFFFF"/>
        </w:rPr>
        <w:t>.2.1考核对象</w:t>
      </w:r>
      <w:r>
        <w:rPr>
          <w:rFonts w:ascii="宋体" w:hAnsi="宋体" w:cs="仿宋_GB2312"/>
          <w:shd w:val="clear" w:color="auto" w:fill="FFFFFF"/>
        </w:rPr>
        <w:br w:type="textWrapping"/>
      </w:r>
      <w:r>
        <w:rPr>
          <w:rFonts w:hint="eastAsia" w:ascii="宋体" w:hAnsi="宋体" w:cs="仿宋_GB2312"/>
          <w:shd w:val="clear" w:color="auto" w:fill="FFFFFF"/>
        </w:rPr>
        <w:t>　　</w:t>
      </w:r>
      <w:r>
        <w:rPr>
          <w:rFonts w:hint="eastAsia" w:ascii="宋体" w:hAnsi="宋体" w:eastAsia="宋体" w:cs="宋体"/>
        </w:rPr>
        <w:t>凡进入</w:t>
      </w:r>
      <w:r>
        <w:rPr>
          <w:rFonts w:hint="eastAsia" w:ascii="宋体" w:hAnsi="宋体" w:cs="宋体"/>
          <w:lang w:eastAsia="zh-CN"/>
        </w:rPr>
        <w:t>2026-2027年阜充电充电桩维保及场站零星维修供应商库</w:t>
      </w:r>
      <w:r>
        <w:rPr>
          <w:rFonts w:hint="eastAsia" w:ascii="宋体" w:hAnsi="宋体" w:eastAsia="宋体" w:cs="宋体"/>
        </w:rPr>
        <w:t>的单位，均按本办法进行考核。</w:t>
      </w:r>
      <w:r>
        <w:rPr>
          <w:rFonts w:ascii="宋体" w:hAnsi="Calibri"/>
          <w:sz w:val="24"/>
          <w:szCs w:val="20"/>
        </w:rPr>
        <w:br w:type="textWrapping"/>
      </w:r>
      <w:r>
        <w:rPr>
          <w:rFonts w:hint="eastAsia" w:ascii="宋体" w:hAnsi="宋体" w:cs="仿宋_GB2312"/>
          <w:shd w:val="clear" w:color="auto" w:fill="FFFFFF"/>
        </w:rPr>
        <w:t>　　</w:t>
      </w:r>
      <w:r>
        <w:rPr>
          <w:rFonts w:ascii="宋体" w:hAnsi="宋体" w:cs="仿宋_GB2312"/>
          <w:b/>
          <w:bCs/>
          <w:sz w:val="24"/>
          <w:szCs w:val="24"/>
          <w:shd w:val="clear" w:color="auto" w:fill="FFFFFF"/>
        </w:rPr>
        <w:t>11</w:t>
      </w:r>
      <w:r>
        <w:rPr>
          <w:rFonts w:hint="eastAsia" w:ascii="宋体" w:hAnsi="宋体" w:cs="仿宋_GB2312"/>
          <w:b/>
          <w:bCs/>
          <w:sz w:val="24"/>
          <w:szCs w:val="24"/>
          <w:shd w:val="clear" w:color="auto" w:fill="FFFFFF"/>
        </w:rPr>
        <w:t>.2.2考核原则</w:t>
      </w:r>
      <w:r>
        <w:rPr>
          <w:rFonts w:ascii="宋体" w:hAnsi="宋体" w:cs="仿宋_GB2312"/>
          <w:shd w:val="clear" w:color="auto" w:fill="FFFFFF"/>
        </w:rPr>
        <w:br w:type="textWrapping"/>
      </w:r>
      <w:r>
        <w:rPr>
          <w:rFonts w:hint="eastAsia" w:ascii="宋体" w:hAnsi="宋体" w:cs="仿宋_GB2312"/>
          <w:shd w:val="clear" w:color="auto" w:fill="FFFFFF"/>
        </w:rPr>
        <w:t>　　</w:t>
      </w:r>
      <w:r>
        <w:rPr>
          <w:rFonts w:hint="eastAsia" w:ascii="宋体" w:hAnsi="宋体" w:eastAsia="宋体" w:cs="宋体"/>
        </w:rPr>
        <w:t>考核按公平、公正、公开的原则进行。</w:t>
      </w:r>
      <w:r>
        <w:rPr>
          <w:rFonts w:hint="eastAsia" w:ascii="宋体" w:hAnsi="宋体" w:eastAsia="宋体" w:cs="宋体"/>
        </w:rPr>
        <w:br w:type="textWrapping"/>
      </w:r>
      <w:r>
        <w:rPr>
          <w:rFonts w:hint="eastAsia" w:ascii="宋体" w:hAnsi="宋体" w:cs="仿宋_GB2312"/>
          <w:shd w:val="clear" w:color="auto" w:fill="FFFFFF"/>
        </w:rPr>
        <w:t>　　</w:t>
      </w:r>
      <w:r>
        <w:rPr>
          <w:rFonts w:ascii="宋体" w:hAnsi="宋体" w:cs="仿宋_GB2312"/>
          <w:b/>
          <w:bCs/>
          <w:sz w:val="24"/>
          <w:szCs w:val="24"/>
          <w:shd w:val="clear" w:color="auto" w:fill="FFFFFF"/>
        </w:rPr>
        <w:t>11</w:t>
      </w:r>
      <w:r>
        <w:rPr>
          <w:rFonts w:hint="eastAsia" w:ascii="宋体" w:hAnsi="宋体" w:cs="仿宋_GB2312"/>
          <w:b/>
          <w:bCs/>
          <w:sz w:val="24"/>
          <w:szCs w:val="24"/>
          <w:shd w:val="clear" w:color="auto" w:fill="FFFFFF"/>
        </w:rPr>
        <w:t>.2.3考核方式及组织</w:t>
      </w:r>
      <w:r>
        <w:rPr>
          <w:rFonts w:ascii="宋体" w:hAnsi="宋体" w:cs="仿宋_GB2312"/>
          <w:sz w:val="24"/>
          <w:szCs w:val="24"/>
          <w:shd w:val="clear" w:color="auto" w:fill="FFFFFF"/>
        </w:rPr>
        <w:br w:type="textWrapping"/>
      </w:r>
      <w:r>
        <w:rPr>
          <w:rFonts w:hint="eastAsia" w:ascii="宋体" w:hAnsi="宋体" w:cs="仿宋_GB2312"/>
          <w:sz w:val="24"/>
          <w:szCs w:val="24"/>
          <w:shd w:val="clear" w:color="auto" w:fill="FFFFFF"/>
        </w:rPr>
        <w:t>　　</w:t>
      </w:r>
      <w:r>
        <w:rPr>
          <w:rFonts w:hint="eastAsia" w:ascii="宋体" w:hAnsi="宋体" w:eastAsia="宋体" w:cs="宋体"/>
        </w:rPr>
        <w:t>采用季度项目考核和年度综合考核。使用部室应按照考核标准，认真、负责的据实对2026-2027年阜充电充电桩维保及场站零星维修供应商进行打分，法务审计</w:t>
      </w:r>
      <w:r>
        <w:rPr>
          <w:rFonts w:hint="eastAsia" w:ascii="宋体" w:hAnsi="宋体" w:cs="宋体"/>
          <w:lang w:val="en-US" w:eastAsia="zh-CN"/>
        </w:rPr>
        <w:t>人员</w:t>
      </w:r>
      <w:r>
        <w:rPr>
          <w:rFonts w:hint="eastAsia" w:ascii="宋体" w:hAnsi="宋体" w:eastAsia="宋体" w:cs="宋体"/>
        </w:rPr>
        <w:t>对考核评分进行汇总，按考核评分对</w:t>
      </w:r>
      <w:r>
        <w:rPr>
          <w:rFonts w:hint="eastAsia" w:ascii="宋体" w:hAnsi="宋体" w:cs="宋体"/>
          <w:lang w:val="en-US" w:eastAsia="zh-CN"/>
        </w:rPr>
        <w:t>入库</w:t>
      </w:r>
      <w:r>
        <w:rPr>
          <w:rFonts w:hint="eastAsia" w:ascii="宋体" w:hAnsi="宋体" w:eastAsia="宋体" w:cs="宋体"/>
        </w:rPr>
        <w:t>单位进行排名。</w:t>
      </w:r>
    </w:p>
    <w:p w14:paraId="65E7BB8A">
      <w:pPr>
        <w:spacing w:line="360" w:lineRule="auto"/>
        <w:ind w:firstLine="420" w:firstLineChars="200"/>
        <w:rPr>
          <w:rFonts w:hint="eastAsia" w:ascii="宋体" w:hAnsi="宋体" w:eastAsia="宋体" w:cs="宋体"/>
        </w:rPr>
      </w:pPr>
      <w:r>
        <w:rPr>
          <w:rFonts w:hint="eastAsia" w:ascii="宋体" w:hAnsi="宋体" w:eastAsia="宋体" w:cs="宋体"/>
        </w:rPr>
        <w:t>年度综合考核按年度由法务审计</w:t>
      </w:r>
      <w:r>
        <w:rPr>
          <w:rFonts w:hint="eastAsia" w:ascii="宋体" w:hAnsi="宋体" w:cs="宋体"/>
          <w:lang w:val="en-US" w:eastAsia="zh-CN"/>
        </w:rPr>
        <w:t>人员</w:t>
      </w:r>
      <w:r>
        <w:rPr>
          <w:rFonts w:hint="eastAsia" w:ascii="宋体" w:hAnsi="宋体" w:eastAsia="宋体" w:cs="宋体"/>
        </w:rPr>
        <w:t>组织实施。</w:t>
      </w:r>
    </w:p>
    <w:p w14:paraId="5BEF7B47">
      <w:pPr>
        <w:spacing w:line="560" w:lineRule="exact"/>
        <w:ind w:left="638" w:leftChars="304"/>
        <w:rPr>
          <w:rFonts w:ascii="宋体" w:hAnsi="宋体" w:cs="仿宋_GB2312"/>
          <w:sz w:val="24"/>
          <w:szCs w:val="24"/>
          <w:shd w:val="clear" w:color="auto" w:fill="FFFFFF"/>
        </w:rPr>
      </w:pPr>
      <w:r>
        <w:rPr>
          <w:rFonts w:ascii="宋体" w:hAnsi="宋体" w:cs="仿宋_GB2312"/>
          <w:b/>
          <w:bCs/>
          <w:sz w:val="24"/>
          <w:szCs w:val="24"/>
          <w:shd w:val="clear" w:color="auto" w:fill="FFFFFF"/>
        </w:rPr>
        <w:t>11</w:t>
      </w:r>
      <w:r>
        <w:rPr>
          <w:rFonts w:hint="eastAsia" w:ascii="宋体" w:hAnsi="宋体" w:cs="仿宋_GB2312"/>
          <w:b/>
          <w:bCs/>
          <w:sz w:val="24"/>
          <w:szCs w:val="24"/>
          <w:shd w:val="clear" w:color="auto" w:fill="FFFFFF"/>
        </w:rPr>
        <w:t>.2.4基本要求</w:t>
      </w:r>
    </w:p>
    <w:p w14:paraId="7BABF1CF">
      <w:pPr>
        <w:spacing w:line="360" w:lineRule="auto"/>
        <w:ind w:firstLine="420" w:firstLineChars="200"/>
        <w:rPr>
          <w:rFonts w:hint="eastAsia" w:ascii="宋体" w:hAnsi="宋体" w:eastAsia="宋体" w:cs="宋体"/>
        </w:rPr>
      </w:pPr>
      <w:r>
        <w:rPr>
          <w:rFonts w:hint="eastAsia" w:ascii="宋体" w:hAnsi="宋体" w:eastAsia="宋体" w:cs="宋体"/>
        </w:rPr>
        <w:t>1.充电桩维修服务供应商是否按照委托协议的规定完成委托项目</w:t>
      </w:r>
      <w:r>
        <w:rPr>
          <w:rFonts w:hint="eastAsia" w:ascii="宋体" w:hAnsi="宋体" w:cs="宋体"/>
          <w:lang w:val="en-US" w:eastAsia="zh-CN"/>
        </w:rPr>
        <w:t>维修相关服务</w:t>
      </w:r>
      <w:r>
        <w:rPr>
          <w:rFonts w:hint="eastAsia" w:ascii="宋体" w:hAnsi="宋体" w:eastAsia="宋体" w:cs="宋体"/>
        </w:rPr>
        <w:t>工作内容，履行委托项目工作程序。</w:t>
      </w:r>
    </w:p>
    <w:p w14:paraId="3C0C9BE8">
      <w:pPr>
        <w:spacing w:line="360" w:lineRule="auto"/>
        <w:ind w:firstLine="420" w:firstLineChars="200"/>
        <w:rPr>
          <w:rFonts w:hint="eastAsia" w:ascii="宋体" w:hAnsi="宋体" w:eastAsia="宋体" w:cs="宋体"/>
        </w:rPr>
      </w:pPr>
      <w:r>
        <w:rPr>
          <w:rFonts w:hint="eastAsia" w:ascii="宋体" w:hAnsi="宋体" w:eastAsia="宋体" w:cs="宋体"/>
        </w:rPr>
        <w:t>2.</w:t>
      </w:r>
      <w:r>
        <w:rPr>
          <w:rFonts w:hint="eastAsia" w:ascii="宋体" w:hAnsi="宋体" w:cs="宋体"/>
          <w:lang w:eastAsia="zh-CN"/>
        </w:rPr>
        <w:t>充电桩维修服务</w:t>
      </w:r>
      <w:r>
        <w:rPr>
          <w:rFonts w:hint="eastAsia" w:ascii="宋体" w:hAnsi="宋体" w:eastAsia="宋体" w:cs="宋体"/>
        </w:rPr>
        <w:t>供应商是否在各具体项目</w:t>
      </w:r>
      <w:r>
        <w:rPr>
          <w:rFonts w:hint="eastAsia" w:ascii="宋体" w:hAnsi="宋体" w:cs="宋体"/>
          <w:lang w:val="en-US" w:eastAsia="zh-CN"/>
        </w:rPr>
        <w:t>服务</w:t>
      </w:r>
      <w:r>
        <w:rPr>
          <w:rFonts w:hint="eastAsia" w:ascii="宋体" w:hAnsi="宋体" w:eastAsia="宋体" w:cs="宋体"/>
        </w:rPr>
        <w:t>过程中，按要求配备相应的团队人员和必要的设备。</w:t>
      </w:r>
    </w:p>
    <w:p w14:paraId="32406A09">
      <w:pPr>
        <w:spacing w:line="360" w:lineRule="auto"/>
        <w:ind w:firstLine="420" w:firstLineChars="200"/>
        <w:rPr>
          <w:rFonts w:hint="eastAsia" w:ascii="宋体" w:hAnsi="宋体" w:eastAsia="宋体" w:cs="宋体"/>
        </w:rPr>
      </w:pPr>
      <w:r>
        <w:rPr>
          <w:rFonts w:hint="eastAsia" w:ascii="宋体" w:hAnsi="宋体" w:eastAsia="宋体" w:cs="宋体"/>
        </w:rPr>
        <w:t>3.</w:t>
      </w:r>
      <w:r>
        <w:rPr>
          <w:rFonts w:hint="eastAsia" w:ascii="宋体" w:hAnsi="宋体" w:cs="宋体"/>
          <w:lang w:eastAsia="zh-CN"/>
        </w:rPr>
        <w:t>充电桩维修服务</w:t>
      </w:r>
      <w:r>
        <w:rPr>
          <w:rFonts w:hint="eastAsia" w:ascii="宋体" w:hAnsi="宋体" w:eastAsia="宋体" w:cs="宋体"/>
        </w:rPr>
        <w:t>供应商是否对工作人员的责任约束和纪律约束，工作人员是否对相关资料保密。</w:t>
      </w:r>
    </w:p>
    <w:p w14:paraId="4286F399">
      <w:pPr>
        <w:spacing w:line="360" w:lineRule="auto"/>
        <w:ind w:firstLine="420" w:firstLineChars="200"/>
        <w:rPr>
          <w:rFonts w:hint="eastAsia" w:ascii="宋体" w:hAnsi="宋体" w:eastAsia="宋体" w:cs="宋体"/>
        </w:rPr>
      </w:pPr>
      <w:r>
        <w:rPr>
          <w:rFonts w:hint="eastAsia" w:ascii="宋体" w:hAnsi="宋体" w:eastAsia="宋体" w:cs="宋体"/>
        </w:rPr>
        <w:t>4.</w:t>
      </w:r>
      <w:r>
        <w:rPr>
          <w:rFonts w:hint="eastAsia" w:ascii="宋体" w:hAnsi="宋体" w:cs="宋体"/>
          <w:lang w:eastAsia="zh-CN"/>
        </w:rPr>
        <w:t>充电桩维修服务</w:t>
      </w:r>
      <w:r>
        <w:rPr>
          <w:rFonts w:hint="eastAsia" w:ascii="宋体" w:hAnsi="宋体" w:eastAsia="宋体" w:cs="宋体"/>
        </w:rPr>
        <w:t>供应商是否制定工作计划，并按照工作计划执行。</w:t>
      </w:r>
    </w:p>
    <w:p w14:paraId="4A56C378">
      <w:pPr>
        <w:spacing w:line="360" w:lineRule="auto"/>
        <w:ind w:firstLine="420" w:firstLineChars="200"/>
        <w:rPr>
          <w:rFonts w:hint="eastAsia" w:ascii="宋体" w:hAnsi="宋体" w:eastAsia="宋体" w:cs="宋体"/>
        </w:rPr>
      </w:pPr>
      <w:r>
        <w:rPr>
          <w:rFonts w:hint="eastAsia" w:ascii="宋体" w:hAnsi="宋体" w:eastAsia="宋体" w:cs="宋体"/>
        </w:rPr>
        <w:t>5.</w:t>
      </w:r>
      <w:r>
        <w:rPr>
          <w:rFonts w:hint="eastAsia" w:ascii="宋体" w:hAnsi="宋体" w:cs="宋体"/>
          <w:lang w:eastAsia="zh-CN"/>
        </w:rPr>
        <w:t>充电桩维修服务</w:t>
      </w:r>
      <w:r>
        <w:rPr>
          <w:rFonts w:hint="eastAsia" w:ascii="宋体" w:hAnsi="宋体" w:eastAsia="宋体" w:cs="宋体"/>
        </w:rPr>
        <w:t>供应商是否在本次招标服务期内所承担的项目在操作上程序规范合法。</w:t>
      </w:r>
    </w:p>
    <w:p w14:paraId="55CBFE5C">
      <w:pPr>
        <w:spacing w:line="360" w:lineRule="auto"/>
        <w:ind w:firstLine="420" w:firstLineChars="200"/>
        <w:rPr>
          <w:rFonts w:hint="eastAsia" w:ascii="宋体" w:hAnsi="宋体" w:eastAsia="宋体" w:cs="宋体"/>
          <w:highlight w:val="none"/>
        </w:rPr>
      </w:pPr>
      <w:r>
        <w:rPr>
          <w:rFonts w:hint="eastAsia" w:ascii="宋体" w:hAnsi="宋体" w:eastAsia="宋体" w:cs="宋体"/>
        </w:rPr>
        <w:t>6.</w:t>
      </w:r>
      <w:r>
        <w:rPr>
          <w:rFonts w:hint="eastAsia" w:ascii="宋体" w:hAnsi="宋体" w:cs="宋体"/>
          <w:color w:val="auto"/>
          <w:highlight w:val="none"/>
          <w:lang w:eastAsia="zh-CN"/>
        </w:rPr>
        <w:t>充电桩维修服务</w:t>
      </w:r>
      <w:r>
        <w:rPr>
          <w:rFonts w:hint="eastAsia" w:ascii="宋体" w:hAnsi="宋体" w:eastAsia="宋体" w:cs="宋体"/>
          <w:color w:val="auto"/>
          <w:highlight w:val="none"/>
        </w:rPr>
        <w:t>供应商是否在接到项目通知后应在</w:t>
      </w:r>
      <w:r>
        <w:rPr>
          <w:rFonts w:hint="eastAsia" w:ascii="宋体" w:hAnsi="宋体" w:cs="宋体"/>
          <w:color w:val="auto"/>
          <w:highlight w:val="none"/>
          <w:lang w:val="en-US" w:eastAsia="zh-CN"/>
        </w:rPr>
        <w:t>30分钟</w:t>
      </w:r>
      <w:r>
        <w:rPr>
          <w:rFonts w:hint="eastAsia" w:ascii="宋体" w:hAnsi="宋体" w:eastAsia="宋体" w:cs="宋体"/>
          <w:color w:val="auto"/>
          <w:highlight w:val="none"/>
        </w:rPr>
        <w:t>内响应。</w:t>
      </w:r>
    </w:p>
    <w:p w14:paraId="752E1316">
      <w:pPr>
        <w:spacing w:line="360" w:lineRule="auto"/>
        <w:ind w:firstLine="420" w:firstLineChars="200"/>
        <w:rPr>
          <w:rFonts w:hint="eastAsia" w:ascii="宋体" w:hAnsi="宋体" w:eastAsia="宋体" w:cs="宋体"/>
        </w:rPr>
      </w:pPr>
      <w:r>
        <w:rPr>
          <w:rFonts w:hint="eastAsia" w:ascii="宋体" w:hAnsi="宋体" w:eastAsia="宋体" w:cs="宋体"/>
        </w:rPr>
        <w:t>7.</w:t>
      </w:r>
      <w:r>
        <w:rPr>
          <w:rFonts w:hint="eastAsia" w:ascii="宋体" w:hAnsi="宋体" w:cs="宋体"/>
          <w:lang w:eastAsia="zh-CN"/>
        </w:rPr>
        <w:t>充电桩维修服务</w:t>
      </w:r>
      <w:r>
        <w:rPr>
          <w:rFonts w:hint="eastAsia" w:ascii="宋体" w:hAnsi="宋体" w:eastAsia="宋体" w:cs="宋体"/>
        </w:rPr>
        <w:t xml:space="preserve">供应商是否对其受托实施项目的工作进度和质量负责，不能有重要环节和重大问题遗漏。                                         </w:t>
      </w:r>
    </w:p>
    <w:p w14:paraId="47A3B323">
      <w:pPr>
        <w:spacing w:line="360" w:lineRule="auto"/>
        <w:ind w:firstLine="420" w:firstLineChars="200"/>
        <w:rPr>
          <w:rFonts w:ascii="宋体" w:hAnsi="宋体"/>
        </w:rPr>
      </w:pPr>
      <w:r>
        <w:rPr>
          <w:rFonts w:hint="eastAsia" w:ascii="宋体" w:hAnsi="宋体" w:eastAsia="宋体" w:cs="宋体"/>
        </w:rPr>
        <w:t>8.</w:t>
      </w:r>
      <w:r>
        <w:rPr>
          <w:rFonts w:hint="eastAsia" w:ascii="宋体" w:hAnsi="宋体" w:cs="宋体"/>
          <w:lang w:eastAsia="zh-CN"/>
        </w:rPr>
        <w:t>充电桩维修服务</w:t>
      </w:r>
      <w:r>
        <w:rPr>
          <w:rFonts w:hint="eastAsia" w:ascii="宋体" w:hAnsi="宋体" w:eastAsia="宋体" w:cs="宋体"/>
        </w:rPr>
        <w:t>供应商是否在实施过程中对发现问题进行整改通知及落实。</w:t>
      </w:r>
      <w:r>
        <w:rPr>
          <w:rFonts w:ascii="宋体" w:hAnsi="宋体"/>
        </w:rPr>
        <w:t xml:space="preserve"> </w:t>
      </w:r>
    </w:p>
    <w:p w14:paraId="1761C49F">
      <w:pPr>
        <w:spacing w:line="560" w:lineRule="exact"/>
        <w:rPr>
          <w:rFonts w:hint="eastAsia" w:ascii="宋体" w:hAnsi="宋体" w:eastAsia="宋体" w:cs="宋体"/>
          <w:lang w:eastAsia="zh-CN"/>
        </w:rPr>
      </w:pPr>
      <w:r>
        <w:rPr>
          <w:rFonts w:ascii="宋体" w:hAnsi="宋体"/>
          <w:b/>
          <w:bCs/>
        </w:rPr>
        <w:t xml:space="preserve">   </w:t>
      </w:r>
      <w:r>
        <w:rPr>
          <w:rFonts w:ascii="宋体" w:hAnsi="宋体" w:cs="仿宋_GB2312"/>
          <w:b/>
          <w:bCs/>
          <w:shd w:val="clear" w:color="auto" w:fill="FFFFFF"/>
        </w:rPr>
        <w:t>11</w:t>
      </w:r>
      <w:r>
        <w:rPr>
          <w:rFonts w:hint="eastAsia" w:ascii="宋体" w:hAnsi="宋体" w:cs="仿宋_GB2312"/>
          <w:b/>
          <w:bCs/>
          <w:shd w:val="clear" w:color="auto" w:fill="FFFFFF"/>
        </w:rPr>
        <w:t>.2.5考核内容及评分</w:t>
      </w:r>
      <w:r>
        <w:rPr>
          <w:rFonts w:ascii="宋体" w:hAnsi="宋体" w:cs="仿宋_GB2312"/>
          <w:shd w:val="clear" w:color="auto" w:fill="FFFFFF"/>
        </w:rPr>
        <w:br w:type="textWrapping"/>
      </w:r>
      <w:r>
        <w:rPr>
          <w:rFonts w:hint="eastAsia" w:ascii="宋体" w:hAnsi="宋体" w:cs="仿宋_GB2312"/>
          <w:shd w:val="clear" w:color="auto" w:fill="FFFFFF"/>
        </w:rPr>
        <w:t>　　</w:t>
      </w:r>
      <w:r>
        <w:rPr>
          <w:rFonts w:hint="eastAsia" w:ascii="宋体" w:hAnsi="宋体" w:eastAsia="宋体" w:cs="宋体"/>
        </w:rPr>
        <w:t>考核采用综合计分法。</w:t>
      </w:r>
      <w:r>
        <w:rPr>
          <w:rFonts w:hint="eastAsia" w:ascii="宋体" w:hAnsi="宋体" w:eastAsia="宋体" w:cs="宋体"/>
        </w:rPr>
        <w:br w:type="textWrapping"/>
      </w:r>
      <w:r>
        <w:rPr>
          <w:rFonts w:hint="eastAsia" w:ascii="宋体" w:hAnsi="宋体" w:eastAsia="宋体" w:cs="宋体"/>
        </w:rPr>
        <w:t>　　对</w:t>
      </w:r>
      <w:r>
        <w:rPr>
          <w:rFonts w:hint="eastAsia" w:ascii="宋体" w:hAnsi="宋体" w:cs="宋体"/>
          <w:lang w:val="en-US" w:eastAsia="zh-CN"/>
        </w:rPr>
        <w:t>采购</w:t>
      </w:r>
      <w:r>
        <w:rPr>
          <w:rFonts w:hint="eastAsia" w:ascii="宋体" w:hAnsi="宋体" w:eastAsia="宋体" w:cs="宋体"/>
        </w:rPr>
        <w:t>项目按季度考核，主要考核本季度具体项目的</w:t>
      </w:r>
      <w:r>
        <w:rPr>
          <w:rFonts w:hint="eastAsia" w:ascii="宋体" w:hAnsi="宋体" w:cs="宋体"/>
          <w:lang w:val="en-US" w:eastAsia="zh-CN"/>
        </w:rPr>
        <w:t>服务</w:t>
      </w:r>
      <w:r>
        <w:rPr>
          <w:rFonts w:hint="eastAsia" w:ascii="宋体" w:hAnsi="宋体" w:eastAsia="宋体" w:cs="宋体"/>
        </w:rPr>
        <w:t>质量、</w:t>
      </w:r>
      <w:r>
        <w:rPr>
          <w:rFonts w:hint="eastAsia" w:ascii="宋体" w:hAnsi="宋体" w:cs="宋体"/>
          <w:lang w:val="en-US" w:eastAsia="zh-CN"/>
        </w:rPr>
        <w:t>服务</w:t>
      </w:r>
      <w:r>
        <w:rPr>
          <w:rFonts w:hint="eastAsia" w:ascii="宋体" w:hAnsi="宋体" w:eastAsia="宋体" w:cs="宋体"/>
        </w:rPr>
        <w:t>效率、服务程序（服务纪律）等内容。其中项目</w:t>
      </w:r>
      <w:r>
        <w:rPr>
          <w:rFonts w:hint="eastAsia" w:ascii="宋体" w:hAnsi="宋体" w:cs="宋体"/>
          <w:lang w:val="en-US" w:eastAsia="zh-CN"/>
        </w:rPr>
        <w:t>服务</w:t>
      </w:r>
      <w:r>
        <w:rPr>
          <w:rFonts w:hint="eastAsia" w:ascii="宋体" w:hAnsi="宋体" w:eastAsia="宋体" w:cs="宋体"/>
        </w:rPr>
        <w:t>质量满分50分、</w:t>
      </w:r>
      <w:r>
        <w:rPr>
          <w:rFonts w:hint="eastAsia" w:ascii="宋体" w:hAnsi="宋体" w:cs="宋体"/>
          <w:lang w:val="en-US" w:eastAsia="zh-CN"/>
        </w:rPr>
        <w:t>服务</w:t>
      </w:r>
      <w:r>
        <w:rPr>
          <w:rFonts w:hint="eastAsia" w:ascii="宋体" w:hAnsi="宋体" w:eastAsia="宋体" w:cs="宋体"/>
        </w:rPr>
        <w:t>效率满分30分、服务程序（服务纪律）满分20分，三项合计满分100分，采用扣分法计分；三项考核内容累计总分为各个项目的日常性考核得分。</w:t>
      </w:r>
      <w:r>
        <w:rPr>
          <w:rFonts w:hint="eastAsia" w:ascii="宋体" w:hAnsi="宋体" w:eastAsia="宋体" w:cs="宋体"/>
        </w:rPr>
        <w:br w:type="textWrapping"/>
      </w:r>
      <w:r>
        <w:rPr>
          <w:rFonts w:hint="eastAsia" w:ascii="宋体" w:hAnsi="宋体" w:eastAsia="宋体" w:cs="宋体"/>
        </w:rPr>
        <w:t>　　一年内有</w:t>
      </w:r>
      <w:r>
        <w:rPr>
          <w:rFonts w:hint="eastAsia" w:ascii="宋体" w:hAnsi="宋体" w:eastAsia="宋体" w:cs="宋体"/>
          <w:lang w:val="en-US" w:eastAsia="zh-CN"/>
        </w:rPr>
        <w:t>两</w:t>
      </w:r>
      <w:r>
        <w:rPr>
          <w:rFonts w:hint="eastAsia" w:ascii="宋体" w:hAnsi="宋体" w:eastAsia="宋体" w:cs="宋体"/>
        </w:rPr>
        <w:t>个</w:t>
      </w:r>
      <w:r>
        <w:rPr>
          <w:rFonts w:hint="eastAsia" w:ascii="宋体" w:hAnsi="宋体" w:cs="宋体"/>
          <w:lang w:val="en-US" w:eastAsia="zh-CN"/>
        </w:rPr>
        <w:t>季度</w:t>
      </w:r>
      <w:r>
        <w:rPr>
          <w:rFonts w:hint="eastAsia" w:ascii="宋体" w:hAnsi="宋体" w:eastAsia="宋体" w:cs="宋体"/>
        </w:rPr>
        <w:t>考核不合格的，视为年度考核不合格。</w:t>
      </w:r>
      <w:r>
        <w:rPr>
          <w:rFonts w:ascii="宋体" w:hAnsi="Calibri"/>
          <w:sz w:val="24"/>
          <w:szCs w:val="20"/>
        </w:rPr>
        <w:br w:type="textWrapping"/>
      </w:r>
      <w:r>
        <w:rPr>
          <w:rFonts w:hint="eastAsia" w:ascii="宋体" w:hAnsi="宋体" w:cs="仿宋_GB2312"/>
          <w:shd w:val="clear" w:color="auto" w:fill="FFFFFF"/>
        </w:rPr>
        <w:t>　　</w:t>
      </w:r>
      <w:r>
        <w:rPr>
          <w:rFonts w:ascii="宋体" w:hAnsi="宋体" w:cs="仿宋_GB2312"/>
          <w:b/>
          <w:bCs/>
          <w:sz w:val="24"/>
          <w:szCs w:val="24"/>
          <w:shd w:val="clear" w:color="auto" w:fill="FFFFFF"/>
        </w:rPr>
        <w:t>11</w:t>
      </w:r>
      <w:r>
        <w:rPr>
          <w:rFonts w:hint="eastAsia" w:ascii="宋体" w:hAnsi="宋体" w:cs="仿宋_GB2312"/>
          <w:b/>
          <w:bCs/>
          <w:sz w:val="24"/>
          <w:szCs w:val="24"/>
          <w:shd w:val="clear" w:color="auto" w:fill="FFFFFF"/>
        </w:rPr>
        <w:t>.2.6考核结果应用</w:t>
      </w:r>
      <w:r>
        <w:rPr>
          <w:rFonts w:ascii="宋体" w:hAnsi="宋体" w:cs="仿宋_GB2312"/>
          <w:b/>
          <w:bCs/>
          <w:shd w:val="clear" w:color="auto" w:fill="FFFFFF"/>
        </w:rPr>
        <w:br w:type="textWrapping"/>
      </w:r>
      <w:r>
        <w:rPr>
          <w:rFonts w:hint="eastAsia" w:ascii="宋体" w:hAnsi="宋体" w:cs="仿宋_GB2312"/>
          <w:shd w:val="clear" w:color="auto" w:fill="FFFFFF"/>
        </w:rPr>
        <w:t>　</w:t>
      </w:r>
      <w:r>
        <w:rPr>
          <w:rFonts w:hint="eastAsia" w:ascii="宋体" w:hAnsi="Calibri"/>
          <w:sz w:val="24"/>
          <w:szCs w:val="20"/>
        </w:rPr>
        <w:t>　</w:t>
      </w:r>
      <w:r>
        <w:rPr>
          <w:rFonts w:hint="eastAsia" w:ascii="宋体" w:hAnsi="宋体" w:eastAsia="宋体" w:cs="宋体"/>
        </w:rPr>
        <w:t>1</w:t>
      </w:r>
      <w:r>
        <w:rPr>
          <w:rFonts w:hint="eastAsia" w:ascii="宋体" w:hAnsi="宋体" w:eastAsia="宋体" w:cs="宋体"/>
          <w:lang w:val="en-US" w:eastAsia="zh-CN"/>
        </w:rPr>
        <w:t>.</w:t>
      </w:r>
      <w:r>
        <w:rPr>
          <w:rFonts w:hint="eastAsia" w:ascii="宋体" w:hAnsi="宋体" w:eastAsia="宋体" w:cs="宋体"/>
        </w:rPr>
        <w:t>按年度综合考核评分成绩，</w:t>
      </w:r>
      <w:r>
        <w:rPr>
          <w:rFonts w:hint="eastAsia" w:ascii="宋体" w:hAnsi="宋体" w:cs="宋体"/>
          <w:lang w:eastAsia="zh-CN"/>
        </w:rPr>
        <w:t>充电桩维修服务</w:t>
      </w:r>
      <w:r>
        <w:rPr>
          <w:rFonts w:hint="eastAsia" w:ascii="宋体" w:hAnsi="宋体" w:eastAsia="宋体" w:cs="宋体"/>
        </w:rPr>
        <w:t>供应商</w:t>
      </w:r>
      <w:r>
        <w:rPr>
          <w:rFonts w:hint="eastAsia" w:ascii="宋体" w:hAnsi="宋体" w:eastAsia="宋体" w:cs="宋体"/>
          <w:lang w:val="en-US" w:eastAsia="zh-CN"/>
        </w:rPr>
        <w:t>不合格的</w:t>
      </w:r>
      <w:r>
        <w:rPr>
          <w:rFonts w:hint="eastAsia" w:ascii="宋体" w:hAnsi="宋体" w:eastAsia="宋体" w:cs="宋体"/>
        </w:rPr>
        <w:t>，取消下一年度任务分配资格</w:t>
      </w:r>
      <w:r>
        <w:rPr>
          <w:rFonts w:hint="eastAsia" w:ascii="宋体" w:hAnsi="宋体" w:eastAsia="宋体" w:cs="宋体"/>
          <w:lang w:eastAsia="zh-CN"/>
        </w:rPr>
        <w:t>，</w:t>
      </w:r>
    </w:p>
    <w:p w14:paraId="189DF418">
      <w:pPr>
        <w:spacing w:line="560" w:lineRule="exact"/>
        <w:ind w:firstLine="420" w:firstLineChars="200"/>
        <w:rPr>
          <w:rFonts w:hint="eastAsia" w:ascii="宋体" w:hAnsi="宋体" w:eastAsia="宋体" w:cs="宋体"/>
        </w:rPr>
      </w:pPr>
      <w:r>
        <w:rPr>
          <w:rFonts w:hint="eastAsia" w:ascii="宋体" w:hAnsi="宋体" w:eastAsia="宋体" w:cs="宋体"/>
          <w:lang w:val="en-US" w:eastAsia="zh-CN"/>
        </w:rPr>
        <w:t>2.</w:t>
      </w:r>
      <w:r>
        <w:rPr>
          <w:rFonts w:hint="eastAsia" w:ascii="宋体" w:hAnsi="宋体" w:cs="宋体"/>
          <w:lang w:eastAsia="zh-CN"/>
        </w:rPr>
        <w:t>充电桩维修服务</w:t>
      </w:r>
      <w:r>
        <w:rPr>
          <w:rFonts w:hint="eastAsia" w:ascii="宋体" w:hAnsi="宋体" w:eastAsia="宋体" w:cs="宋体"/>
        </w:rPr>
        <w:t>供应商在年度内承接的项目中出现</w:t>
      </w:r>
      <w:r>
        <w:rPr>
          <w:rFonts w:hint="eastAsia" w:ascii="宋体" w:hAnsi="宋体" w:cs="宋体"/>
          <w:lang w:val="en-US" w:eastAsia="zh-CN"/>
        </w:rPr>
        <w:t>服务</w:t>
      </w:r>
      <w:r>
        <w:rPr>
          <w:rFonts w:hint="eastAsia" w:ascii="宋体" w:hAnsi="宋体" w:eastAsia="宋体" w:cs="宋体"/>
        </w:rPr>
        <w:t>质量、效率等方面重大缺陷，给公司造成经济损失的，经项目评审小组确认，报公司主要领导批准后，清除出库，按协议约定赔偿委托方损失；两年内不得参与公司</w:t>
      </w:r>
      <w:r>
        <w:rPr>
          <w:rFonts w:hint="eastAsia" w:ascii="宋体" w:hAnsi="宋体" w:cs="宋体"/>
          <w:lang w:eastAsia="zh-CN"/>
        </w:rPr>
        <w:t>充电桩维修服务</w:t>
      </w:r>
      <w:r>
        <w:rPr>
          <w:rFonts w:hint="eastAsia" w:ascii="宋体" w:hAnsi="宋体" w:eastAsia="宋体" w:cs="宋体"/>
        </w:rPr>
        <w:t>供应商的选聘；对触犯法律的，追究其相应的法律责任。</w:t>
      </w:r>
    </w:p>
    <w:p w14:paraId="6A417BE0">
      <w:pPr>
        <w:spacing w:line="560" w:lineRule="exact"/>
        <w:ind w:firstLine="420" w:firstLineChars="200"/>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w:t>
      </w:r>
      <w:r>
        <w:rPr>
          <w:rFonts w:hint="eastAsia" w:ascii="宋体" w:hAnsi="宋体" w:eastAsia="宋体" w:cs="宋体"/>
        </w:rPr>
        <w:t>采取一票否决制。凡发生以下情况之一的，一律取消服务资格：</w:t>
      </w:r>
      <w:r>
        <w:rPr>
          <w:rFonts w:hint="eastAsia" w:ascii="宋体" w:hAnsi="宋体" w:eastAsia="宋体" w:cs="宋体"/>
        </w:rPr>
        <w:br w:type="textWrapping"/>
      </w:r>
      <w:r>
        <w:rPr>
          <w:rFonts w:hint="eastAsia" w:ascii="宋体" w:hAnsi="宋体" w:eastAsia="宋体" w:cs="宋体"/>
        </w:rPr>
        <w:t>　 （1）年度内有或一个以上（含一个）低于</w:t>
      </w:r>
      <w:r>
        <w:rPr>
          <w:rFonts w:hint="eastAsia" w:ascii="宋体" w:hAnsi="宋体" w:eastAsia="宋体" w:cs="宋体"/>
          <w:lang w:val="en-US" w:eastAsia="zh-CN"/>
        </w:rPr>
        <w:t>60</w:t>
      </w:r>
      <w:r>
        <w:rPr>
          <w:rFonts w:hint="eastAsia" w:ascii="宋体" w:hAnsi="宋体" w:eastAsia="宋体" w:cs="宋体"/>
        </w:rPr>
        <w:t>分的。</w:t>
      </w:r>
      <w:r>
        <w:rPr>
          <w:rFonts w:hint="eastAsia" w:ascii="宋体" w:hAnsi="宋体" w:eastAsia="宋体" w:cs="宋体"/>
        </w:rPr>
        <w:br w:type="textWrapping"/>
      </w:r>
      <w:r>
        <w:rPr>
          <w:rFonts w:hint="eastAsia" w:ascii="宋体" w:hAnsi="宋体" w:eastAsia="宋体" w:cs="宋体"/>
        </w:rPr>
        <w:t>　 （2）发生重大质量</w:t>
      </w:r>
      <w:r>
        <w:rPr>
          <w:rFonts w:hint="eastAsia" w:ascii="宋体" w:hAnsi="宋体" w:cs="宋体"/>
          <w:lang w:eastAsia="zh-CN"/>
        </w:rPr>
        <w:t>、</w:t>
      </w:r>
      <w:r>
        <w:rPr>
          <w:rFonts w:hint="eastAsia" w:ascii="宋体" w:hAnsi="宋体" w:cs="宋体"/>
          <w:lang w:val="en-US" w:eastAsia="zh-CN"/>
        </w:rPr>
        <w:t>安全</w:t>
      </w:r>
      <w:r>
        <w:rPr>
          <w:rFonts w:hint="eastAsia" w:ascii="宋体" w:hAnsi="宋体" w:eastAsia="宋体" w:cs="宋体"/>
        </w:rPr>
        <w:t>问题的、</w:t>
      </w:r>
      <w:r>
        <w:rPr>
          <w:rFonts w:hint="eastAsia" w:ascii="宋体" w:hAnsi="宋体" w:cs="宋体"/>
          <w:lang w:eastAsia="zh-CN"/>
        </w:rPr>
        <w:t>充电桩维修服务</w:t>
      </w:r>
      <w:r>
        <w:rPr>
          <w:rFonts w:hint="eastAsia" w:ascii="宋体" w:hAnsi="宋体" w:eastAsia="宋体" w:cs="宋体"/>
        </w:rPr>
        <w:t>供应商不具备相应资质</w:t>
      </w:r>
      <w:r>
        <w:rPr>
          <w:rFonts w:hint="eastAsia" w:ascii="宋体" w:hAnsi="宋体" w:eastAsia="宋体" w:cs="宋体"/>
          <w:lang w:val="en-US" w:eastAsia="zh-CN"/>
        </w:rPr>
        <w:t>等</w:t>
      </w:r>
      <w:r>
        <w:rPr>
          <w:rFonts w:hint="eastAsia" w:ascii="宋体" w:hAnsi="宋体" w:eastAsia="宋体" w:cs="宋体"/>
        </w:rPr>
        <w:t>引起相关不良后果的。</w:t>
      </w:r>
      <w:r>
        <w:rPr>
          <w:rFonts w:hint="eastAsia" w:ascii="宋体" w:hAnsi="宋体" w:eastAsia="宋体" w:cs="宋体"/>
        </w:rPr>
        <w:br w:type="textWrapping"/>
      </w:r>
      <w:r>
        <w:rPr>
          <w:rFonts w:hint="eastAsia" w:ascii="宋体" w:hAnsi="宋体" w:eastAsia="宋体" w:cs="宋体"/>
        </w:rPr>
        <w:t>　 （3）未按要求移交</w:t>
      </w:r>
      <w:r>
        <w:rPr>
          <w:rFonts w:hint="eastAsia" w:ascii="宋体" w:hAnsi="宋体" w:eastAsia="宋体" w:cs="宋体"/>
          <w:lang w:val="en-US" w:eastAsia="zh-CN"/>
        </w:rPr>
        <w:t>业务成果文件</w:t>
      </w:r>
      <w:r>
        <w:rPr>
          <w:rFonts w:hint="eastAsia" w:ascii="宋体" w:hAnsi="宋体" w:eastAsia="宋体" w:cs="宋体"/>
        </w:rPr>
        <w:t>的。</w:t>
      </w:r>
    </w:p>
    <w:p w14:paraId="6AC8B0F8">
      <w:pPr>
        <w:spacing w:line="560" w:lineRule="exact"/>
        <w:ind w:firstLine="420" w:firstLineChars="200"/>
        <w:rPr>
          <w:rFonts w:hint="eastAsia" w:ascii="宋体" w:hAnsi="宋体" w:eastAsia="宋体" w:cs="宋体"/>
        </w:rPr>
      </w:pPr>
      <w:r>
        <w:rPr>
          <w:rFonts w:hint="eastAsia" w:ascii="宋体" w:hAnsi="宋体" w:eastAsia="宋体" w:cs="宋体"/>
        </w:rPr>
        <w:t>11.3在评标过程中，对</w:t>
      </w:r>
      <w:r>
        <w:rPr>
          <w:rFonts w:hint="eastAsia" w:ascii="宋体" w:hAnsi="宋体" w:cs="宋体"/>
          <w:lang w:eastAsia="zh-CN"/>
        </w:rPr>
        <w:t>遴选文件</w:t>
      </w:r>
      <w:r>
        <w:rPr>
          <w:rFonts w:hint="eastAsia" w:ascii="宋体" w:hAnsi="宋体" w:eastAsia="宋体" w:cs="宋体"/>
        </w:rPr>
        <w:t>有疑问时，以招标人解释为准。</w:t>
      </w:r>
    </w:p>
    <w:p w14:paraId="0CBCB068">
      <w:pPr>
        <w:spacing w:line="360" w:lineRule="auto"/>
        <w:ind w:firstLine="420" w:firstLineChars="200"/>
        <w:outlineLvl w:val="1"/>
        <w:rPr>
          <w:rFonts w:ascii="宋体" w:hAnsi="宋体" w:cs="宋体"/>
          <w:b/>
          <w:bCs/>
        </w:rPr>
      </w:pPr>
      <w:bookmarkStart w:id="278" w:name="_Toc493081616"/>
      <w:r>
        <w:rPr>
          <w:rFonts w:hint="eastAsia" w:ascii="宋体" w:hAnsi="宋体" w:cs="宋体"/>
          <w:b/>
          <w:bCs/>
        </w:rPr>
        <w:t>1</w:t>
      </w:r>
      <w:r>
        <w:rPr>
          <w:rFonts w:ascii="宋体" w:hAnsi="宋体" w:cs="宋体"/>
          <w:b/>
          <w:bCs/>
        </w:rPr>
        <w:t>2</w:t>
      </w:r>
      <w:r>
        <w:rPr>
          <w:rFonts w:hint="eastAsia" w:ascii="宋体" w:hAnsi="宋体" w:cs="宋体"/>
          <w:b/>
          <w:bCs/>
        </w:rPr>
        <w:t>.本</w:t>
      </w:r>
      <w:r>
        <w:rPr>
          <w:rFonts w:hint="eastAsia" w:ascii="宋体" w:hAnsi="宋体" w:cs="宋体"/>
          <w:b/>
          <w:bCs/>
          <w:lang w:eastAsia="zh-CN"/>
        </w:rPr>
        <w:t>遴选文件</w:t>
      </w:r>
      <w:r>
        <w:rPr>
          <w:rFonts w:hint="eastAsia" w:ascii="宋体" w:hAnsi="宋体" w:cs="宋体"/>
          <w:b/>
          <w:bCs/>
        </w:rPr>
        <w:t>解释权</w:t>
      </w:r>
      <w:bookmarkEnd w:id="278"/>
    </w:p>
    <w:p w14:paraId="1DFD0CD4">
      <w:pPr>
        <w:spacing w:line="360" w:lineRule="auto"/>
        <w:ind w:firstLine="420" w:firstLineChars="200"/>
        <w:outlineLvl w:val="1"/>
        <w:rPr>
          <w:rFonts w:ascii="宋体" w:hAnsi="宋体" w:cs="宋体"/>
        </w:rPr>
      </w:pPr>
      <w:r>
        <w:rPr>
          <w:rFonts w:hint="eastAsia" w:ascii="宋体" w:hAnsi="宋体" w:cs="宋体"/>
        </w:rPr>
        <w:t>1</w:t>
      </w:r>
      <w:r>
        <w:rPr>
          <w:rFonts w:hint="eastAsia" w:ascii="宋体" w:hAnsi="宋体" w:cs="宋体"/>
          <w:lang w:val="en-US" w:eastAsia="zh-CN"/>
        </w:rPr>
        <w:t>2</w:t>
      </w:r>
      <w:r>
        <w:rPr>
          <w:rFonts w:hint="eastAsia" w:ascii="宋体" w:hAnsi="宋体" w:cs="宋体"/>
        </w:rPr>
        <w:t>.1本</w:t>
      </w:r>
      <w:r>
        <w:rPr>
          <w:rFonts w:hint="eastAsia" w:ascii="宋体" w:hAnsi="宋体" w:cs="宋体"/>
          <w:lang w:eastAsia="zh-CN"/>
        </w:rPr>
        <w:t>遴选文件</w:t>
      </w:r>
      <w:r>
        <w:rPr>
          <w:rFonts w:hint="eastAsia" w:ascii="宋体" w:hAnsi="宋体" w:cs="宋体"/>
        </w:rPr>
        <w:t>的解释权归招标人所有。</w:t>
      </w:r>
      <w:bookmarkStart w:id="279" w:name="_Toc152042375"/>
      <w:bookmarkStart w:id="280" w:name="_Toc434829626"/>
      <w:bookmarkStart w:id="281" w:name="_Toc152045598"/>
      <w:bookmarkStart w:id="282" w:name="_Toc144974565"/>
      <w:bookmarkStart w:id="283" w:name="_Toc342402139"/>
    </w:p>
    <w:p w14:paraId="6AC77DD3">
      <w:pPr>
        <w:pStyle w:val="14"/>
        <w:ind w:left="0" w:leftChars="0" w:firstLine="0" w:firstLineChars="0"/>
      </w:pPr>
    </w:p>
    <w:p w14:paraId="30DCE133">
      <w:pPr>
        <w:spacing w:line="360" w:lineRule="auto"/>
        <w:jc w:val="center"/>
        <w:outlineLvl w:val="0"/>
        <w:rPr>
          <w:rStyle w:val="23"/>
          <w:rFonts w:hint="eastAsia" w:ascii="宋体" w:hAnsi="宋体" w:cs="宋体"/>
          <w:sz w:val="32"/>
          <w:szCs w:val="32"/>
        </w:rPr>
        <w:sectPr>
          <w:pgSz w:w="12242" w:h="15842"/>
          <w:pgMar w:top="1701" w:right="1080" w:bottom="1587" w:left="1080" w:header="720" w:footer="720" w:gutter="0"/>
          <w:pgNumType w:fmt="decimal"/>
          <w:cols w:space="720" w:num="1"/>
          <w:titlePg/>
          <w:docGrid w:type="linesAndChars" w:linePitch="312" w:charSpace="0"/>
        </w:sectPr>
      </w:pPr>
      <w:bookmarkStart w:id="284" w:name="_Toc16925"/>
    </w:p>
    <w:p w14:paraId="6F12EFF7">
      <w:pPr>
        <w:spacing w:line="360" w:lineRule="auto"/>
        <w:jc w:val="center"/>
        <w:outlineLvl w:val="0"/>
        <w:rPr>
          <w:rStyle w:val="23"/>
          <w:rFonts w:hint="eastAsia" w:ascii="宋体" w:hAnsi="宋体" w:cs="宋体"/>
          <w:sz w:val="32"/>
          <w:szCs w:val="32"/>
        </w:rPr>
      </w:pPr>
      <w:bookmarkStart w:id="285" w:name="_Toc26510"/>
      <w:r>
        <w:rPr>
          <w:rStyle w:val="23"/>
          <w:rFonts w:hint="eastAsia" w:ascii="宋体" w:hAnsi="宋体" w:cs="宋体"/>
          <w:sz w:val="32"/>
          <w:szCs w:val="32"/>
        </w:rPr>
        <w:t xml:space="preserve">第三章 </w:t>
      </w:r>
      <w:bookmarkEnd w:id="279"/>
      <w:bookmarkEnd w:id="280"/>
      <w:bookmarkEnd w:id="281"/>
      <w:bookmarkEnd w:id="282"/>
      <w:bookmarkEnd w:id="283"/>
      <w:r>
        <w:rPr>
          <w:rStyle w:val="23"/>
          <w:rFonts w:hint="eastAsia" w:ascii="宋体" w:hAnsi="宋体" w:cs="宋体"/>
          <w:sz w:val="32"/>
          <w:szCs w:val="32"/>
        </w:rPr>
        <w:t>评标办法</w:t>
      </w:r>
      <w:bookmarkEnd w:id="284"/>
      <w:bookmarkEnd w:id="285"/>
    </w:p>
    <w:p w14:paraId="487EE9FE">
      <w:pPr>
        <w:keepNext w:val="0"/>
        <w:keepLines w:val="0"/>
        <w:widowControl w:val="0"/>
        <w:suppressLineNumbers w:val="0"/>
        <w:autoSpaceDE w:val="0"/>
        <w:autoSpaceDN w:val="0"/>
        <w:spacing w:before="1" w:beforeAutospacing="0" w:after="0" w:afterAutospacing="0" w:line="360" w:lineRule="auto"/>
        <w:ind w:left="0" w:right="0"/>
        <w:jc w:val="center"/>
        <w:rPr>
          <w:rFonts w:hint="eastAsia" w:ascii="宋体" w:hAnsi="宋体" w:eastAsia="宋体" w:cs="宋体"/>
          <w:b/>
          <w:bCs/>
          <w:kern w:val="0"/>
          <w:sz w:val="24"/>
          <w:szCs w:val="24"/>
          <w:lang w:val="en-US" w:eastAsia="zh-CN" w:bidi="ar"/>
        </w:rPr>
      </w:pPr>
      <w:bookmarkStart w:id="286" w:name="_Toc363551777"/>
    </w:p>
    <w:p w14:paraId="5E488754">
      <w:pPr>
        <w:keepNext w:val="0"/>
        <w:keepLines w:val="0"/>
        <w:widowControl w:val="0"/>
        <w:suppressLineNumbers w:val="0"/>
        <w:autoSpaceDE w:val="0"/>
        <w:autoSpaceDN w:val="0"/>
        <w:spacing w:before="1"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b/>
          <w:bCs/>
          <w:kern w:val="0"/>
          <w:sz w:val="24"/>
          <w:szCs w:val="24"/>
          <w:lang w:val="en-US" w:eastAsia="zh-CN" w:bidi="ar"/>
        </w:rPr>
        <w:t>综合评分法</w:t>
      </w:r>
    </w:p>
    <w:p w14:paraId="64C03B95">
      <w:pPr>
        <w:keepNext w:val="0"/>
        <w:keepLines w:val="0"/>
        <w:widowControl w:val="0"/>
        <w:suppressLineNumbers w:val="0"/>
        <w:autoSpaceDE w:val="0"/>
        <w:autoSpaceDN w:val="0"/>
        <w:spacing w:before="0" w:beforeAutospacing="0" w:after="0" w:afterAutospacing="0" w:line="360" w:lineRule="auto"/>
        <w:ind w:left="0" w:right="0" w:firstLine="420" w:firstLineChars="200"/>
        <w:jc w:val="left"/>
        <w:outlineLvl w:val="2"/>
        <w:rPr>
          <w:rFonts w:hint="eastAsia" w:ascii="宋体" w:hAnsi="宋体" w:eastAsia="宋体" w:cs="宋体"/>
          <w:b/>
          <w:bCs/>
          <w:kern w:val="2"/>
          <w:sz w:val="21"/>
          <w:szCs w:val="21"/>
        </w:rPr>
      </w:pPr>
      <w:r>
        <w:rPr>
          <w:rFonts w:hint="eastAsia" w:ascii="宋体" w:hAnsi="宋体" w:eastAsia="宋体" w:cs="宋体"/>
          <w:b/>
          <w:bCs/>
          <w:kern w:val="2"/>
          <w:sz w:val="21"/>
          <w:szCs w:val="21"/>
          <w:lang w:val="en-US" w:eastAsia="zh-CN" w:bidi="ar"/>
        </w:rPr>
        <w:t>一、总 则</w:t>
      </w:r>
    </w:p>
    <w:p w14:paraId="29BBE5F5">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Calibri"/>
          <w:sz w:val="21"/>
          <w:szCs w:val="21"/>
        </w:rPr>
      </w:pPr>
      <w:r>
        <w:rPr>
          <w:rFonts w:hint="eastAsia" w:ascii="宋体" w:hAnsi="宋体" w:eastAsia="宋体" w:cs="宋体"/>
          <w:b/>
          <w:bCs/>
          <w:kern w:val="2"/>
          <w:sz w:val="21"/>
          <w:szCs w:val="21"/>
          <w:lang w:val="en-US" w:eastAsia="zh-CN" w:bidi="ar"/>
        </w:rPr>
        <w:t>第一条</w:t>
      </w:r>
      <w:r>
        <w:rPr>
          <w:rFonts w:hint="eastAsia" w:ascii="宋体" w:hAnsi="宋体" w:eastAsia="宋体" w:cs="宋体"/>
          <w:kern w:val="2"/>
          <w:sz w:val="21"/>
          <w:szCs w:val="21"/>
          <w:lang w:val="en-US" w:eastAsia="zh-CN" w:bidi="ar"/>
        </w:rPr>
        <w:t xml:space="preserve"> </w:t>
      </w:r>
      <w:r>
        <w:rPr>
          <w:rFonts w:hint="eastAsia" w:ascii="宋体" w:hAnsi="Calibri"/>
          <w:sz w:val="21"/>
          <w:szCs w:val="21"/>
          <w:lang w:val="en-US" w:eastAsia="zh-CN"/>
        </w:rPr>
        <w:t>为了做好本项目招标评标工作，保证项目评审工作的正常有序进行，维护招标人、投标人的合法权益，依据《中华人民共和国招标投标法》及其它相关法律法规， 本着公开、公平、公正的原则，制定评标办法。</w:t>
      </w:r>
    </w:p>
    <w:p w14:paraId="4BA404AD">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2"/>
          <w:sz w:val="21"/>
          <w:szCs w:val="21"/>
        </w:rPr>
      </w:pPr>
      <w:r>
        <w:rPr>
          <w:rFonts w:hint="eastAsia" w:ascii="宋体" w:hAnsi="宋体" w:eastAsia="宋体" w:cs="宋体"/>
          <w:b/>
          <w:bCs/>
          <w:kern w:val="2"/>
          <w:sz w:val="21"/>
          <w:szCs w:val="21"/>
          <w:lang w:val="en-US" w:eastAsia="zh-CN" w:bidi="ar"/>
        </w:rPr>
        <w:t>第二条</w:t>
      </w:r>
      <w:r>
        <w:rPr>
          <w:rFonts w:hint="eastAsia" w:ascii="宋体" w:hAnsi="宋体" w:eastAsia="宋体" w:cs="宋体"/>
          <w:kern w:val="2"/>
          <w:sz w:val="21"/>
          <w:szCs w:val="21"/>
          <w:lang w:val="en-US" w:eastAsia="zh-CN" w:bidi="ar"/>
        </w:rPr>
        <w:t xml:space="preserve">  本次项目评标采用综合评分法作为对投标人标书的比较方法。</w:t>
      </w:r>
    </w:p>
    <w:p w14:paraId="370F8C7E">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2"/>
          <w:sz w:val="21"/>
          <w:szCs w:val="21"/>
        </w:rPr>
      </w:pPr>
      <w:r>
        <w:rPr>
          <w:rFonts w:hint="eastAsia" w:ascii="宋体" w:hAnsi="宋体" w:eastAsia="宋体" w:cs="宋体"/>
          <w:b/>
          <w:bCs/>
          <w:kern w:val="2"/>
          <w:sz w:val="21"/>
          <w:szCs w:val="21"/>
          <w:lang w:val="en-US" w:eastAsia="zh-CN" w:bidi="ar"/>
        </w:rPr>
        <w:t>第三条</w:t>
      </w:r>
      <w:r>
        <w:rPr>
          <w:rFonts w:hint="eastAsia" w:ascii="宋体" w:hAnsi="宋体" w:eastAsia="宋体" w:cs="宋体"/>
          <w:kern w:val="2"/>
          <w:sz w:val="21"/>
          <w:szCs w:val="21"/>
          <w:lang w:val="en-US" w:eastAsia="zh-CN" w:bidi="ar"/>
        </w:rPr>
        <w:t xml:space="preserve"> 招标人组建评标委员会（以下简称评委会），负责本项目的评标工作。</w:t>
      </w:r>
    </w:p>
    <w:p w14:paraId="38C2E61A">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sz w:val="21"/>
          <w:szCs w:val="21"/>
        </w:rPr>
      </w:pPr>
      <w:r>
        <w:rPr>
          <w:rFonts w:hint="eastAsia" w:ascii="宋体" w:hAnsi="宋体" w:eastAsia="宋体" w:cs="宋体"/>
          <w:b/>
          <w:bCs/>
          <w:kern w:val="2"/>
          <w:sz w:val="21"/>
          <w:szCs w:val="21"/>
          <w:lang w:val="en-US" w:eastAsia="zh-CN" w:bidi="ar"/>
        </w:rPr>
        <w:t>第四条</w:t>
      </w:r>
      <w:r>
        <w:rPr>
          <w:rFonts w:hint="eastAsia" w:ascii="宋体" w:hAnsi="宋体" w:eastAsia="宋体" w:cs="宋体"/>
          <w:kern w:val="2"/>
          <w:sz w:val="21"/>
          <w:szCs w:val="21"/>
          <w:lang w:val="en-US" w:eastAsia="zh-CN" w:bidi="ar"/>
        </w:rPr>
        <w:t xml:space="preserve"> 评委会按照“客观公正，实事求是”的原则，评价参加本次招标的投标人所 提供的产品价格、性能、质量、服务及对</w:t>
      </w:r>
      <w:r>
        <w:rPr>
          <w:rFonts w:hint="eastAsia" w:ascii="宋体" w:hAnsi="宋体" w:cs="宋体"/>
          <w:kern w:val="2"/>
          <w:sz w:val="21"/>
          <w:szCs w:val="21"/>
          <w:lang w:val="en-US" w:eastAsia="zh-CN" w:bidi="ar"/>
        </w:rPr>
        <w:t>遴选文件</w:t>
      </w:r>
      <w:r>
        <w:rPr>
          <w:rFonts w:hint="eastAsia" w:ascii="宋体" w:hAnsi="宋体" w:eastAsia="宋体" w:cs="宋体"/>
          <w:kern w:val="2"/>
          <w:sz w:val="21"/>
          <w:szCs w:val="21"/>
          <w:lang w:val="en-US" w:eastAsia="zh-CN" w:bidi="ar"/>
        </w:rPr>
        <w:t>的符合性及响应性。</w:t>
      </w:r>
    </w:p>
    <w:p w14:paraId="09763012">
      <w:pPr>
        <w:keepNext w:val="0"/>
        <w:keepLines w:val="0"/>
        <w:widowControl w:val="0"/>
        <w:suppressLineNumbers w:val="0"/>
        <w:autoSpaceDE w:val="0"/>
        <w:autoSpaceDN w:val="0"/>
        <w:spacing w:before="0" w:beforeAutospacing="0" w:after="0" w:afterAutospacing="0" w:line="360" w:lineRule="auto"/>
        <w:ind w:left="0" w:right="0" w:firstLine="420" w:firstLineChars="200"/>
        <w:jc w:val="left"/>
        <w:outlineLvl w:val="2"/>
        <w:rPr>
          <w:rFonts w:hint="eastAsia" w:ascii="宋体" w:hAnsi="宋体" w:eastAsia="宋体" w:cs="宋体"/>
          <w:b/>
          <w:bCs/>
          <w:kern w:val="2"/>
          <w:sz w:val="21"/>
          <w:szCs w:val="21"/>
        </w:rPr>
      </w:pPr>
      <w:r>
        <w:rPr>
          <w:rFonts w:hint="eastAsia" w:ascii="宋体" w:hAnsi="宋体" w:eastAsia="宋体" w:cs="宋体"/>
          <w:b/>
          <w:bCs/>
          <w:kern w:val="2"/>
          <w:sz w:val="21"/>
          <w:szCs w:val="21"/>
          <w:lang w:val="en-US" w:eastAsia="zh-CN" w:bidi="ar"/>
        </w:rPr>
        <w:t>二、评标程序及评审细则</w:t>
      </w:r>
    </w:p>
    <w:p w14:paraId="695E84D1">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2"/>
          <w:sz w:val="21"/>
          <w:szCs w:val="21"/>
        </w:rPr>
      </w:pPr>
      <w:r>
        <w:rPr>
          <w:rFonts w:hint="eastAsia" w:ascii="宋体" w:hAnsi="宋体" w:eastAsia="宋体" w:cs="宋体"/>
          <w:b/>
          <w:bCs/>
          <w:kern w:val="2"/>
          <w:sz w:val="21"/>
          <w:szCs w:val="21"/>
          <w:lang w:val="en-US" w:eastAsia="zh-CN" w:bidi="ar"/>
        </w:rPr>
        <w:t>第五条</w:t>
      </w:r>
      <w:r>
        <w:rPr>
          <w:rFonts w:hint="eastAsia" w:ascii="宋体" w:hAnsi="宋体" w:eastAsia="宋体" w:cs="宋体"/>
          <w:kern w:val="2"/>
          <w:sz w:val="21"/>
          <w:szCs w:val="21"/>
          <w:lang w:val="en-US" w:eastAsia="zh-CN" w:bidi="ar"/>
        </w:rPr>
        <w:t xml:space="preserve"> 评标工作于开标后进行。评委会应认真研究</w:t>
      </w:r>
      <w:r>
        <w:rPr>
          <w:rFonts w:hint="eastAsia" w:ascii="宋体" w:hAnsi="宋体" w:cs="宋体"/>
          <w:kern w:val="2"/>
          <w:sz w:val="21"/>
          <w:szCs w:val="21"/>
          <w:lang w:val="en-US" w:eastAsia="zh-CN" w:bidi="ar"/>
        </w:rPr>
        <w:t>遴选文件</w:t>
      </w:r>
      <w:r>
        <w:rPr>
          <w:rFonts w:hint="eastAsia" w:ascii="宋体" w:hAnsi="宋体" w:eastAsia="宋体" w:cs="宋体"/>
          <w:kern w:val="2"/>
          <w:sz w:val="21"/>
          <w:szCs w:val="21"/>
          <w:lang w:val="en-US" w:eastAsia="zh-CN" w:bidi="ar"/>
        </w:rPr>
        <w:t>，至少应了解和熟悉以下内容：</w:t>
      </w:r>
    </w:p>
    <w:p w14:paraId="529AD12D">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（一）招标的目标；</w:t>
      </w:r>
    </w:p>
    <w:p w14:paraId="65BF9C6F">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（二）招标项目的范围和性质；</w:t>
      </w:r>
    </w:p>
    <w:p w14:paraId="15DCC619">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（三）</w:t>
      </w:r>
      <w:r>
        <w:rPr>
          <w:rFonts w:hint="eastAsia" w:ascii="宋体" w:hAnsi="宋体" w:cs="宋体"/>
          <w:kern w:val="2"/>
          <w:sz w:val="21"/>
          <w:szCs w:val="21"/>
          <w:lang w:val="en-US" w:eastAsia="zh-CN" w:bidi="ar"/>
        </w:rPr>
        <w:t>遴选文件</w:t>
      </w:r>
      <w:r>
        <w:rPr>
          <w:rFonts w:hint="eastAsia" w:ascii="宋体" w:hAnsi="宋体" w:eastAsia="宋体" w:cs="宋体"/>
          <w:kern w:val="2"/>
          <w:sz w:val="21"/>
          <w:szCs w:val="21"/>
          <w:lang w:val="en-US" w:eastAsia="zh-CN" w:bidi="ar"/>
        </w:rPr>
        <w:t>中规定的主要技术要求、标准和商务条款；</w:t>
      </w:r>
    </w:p>
    <w:p w14:paraId="50D8B4FF">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（四）</w:t>
      </w:r>
      <w:r>
        <w:rPr>
          <w:rFonts w:hint="eastAsia" w:ascii="宋体" w:hAnsi="宋体" w:cs="宋体"/>
          <w:kern w:val="2"/>
          <w:sz w:val="21"/>
          <w:szCs w:val="21"/>
          <w:lang w:val="en-US" w:eastAsia="zh-CN" w:bidi="ar"/>
        </w:rPr>
        <w:t>遴选文件</w:t>
      </w:r>
      <w:r>
        <w:rPr>
          <w:rFonts w:hint="eastAsia" w:ascii="宋体" w:hAnsi="宋体" w:eastAsia="宋体" w:cs="宋体"/>
          <w:kern w:val="2"/>
          <w:sz w:val="21"/>
          <w:szCs w:val="21"/>
          <w:lang w:val="en-US" w:eastAsia="zh-CN" w:bidi="ar"/>
        </w:rPr>
        <w:t>规定的评标标准、评标方法和在评标过程中考虑的相关因素。</w:t>
      </w:r>
    </w:p>
    <w:p w14:paraId="6354D3DF">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2"/>
          <w:sz w:val="21"/>
          <w:szCs w:val="21"/>
        </w:rPr>
      </w:pPr>
      <w:r>
        <w:rPr>
          <w:rFonts w:hint="eastAsia" w:ascii="宋体" w:hAnsi="宋体" w:eastAsia="宋体" w:cs="宋体"/>
          <w:b/>
          <w:bCs/>
          <w:kern w:val="2"/>
          <w:sz w:val="21"/>
          <w:szCs w:val="21"/>
          <w:lang w:val="en-US" w:eastAsia="zh-CN" w:bidi="ar"/>
        </w:rPr>
        <w:t>第六条</w:t>
      </w:r>
      <w:r>
        <w:rPr>
          <w:rFonts w:hint="eastAsia" w:ascii="宋体" w:hAnsi="宋体" w:eastAsia="宋体" w:cs="宋体"/>
          <w:kern w:val="2"/>
          <w:sz w:val="21"/>
          <w:szCs w:val="21"/>
          <w:lang w:val="en-US" w:eastAsia="zh-CN" w:bidi="ar"/>
        </w:rPr>
        <w:t xml:space="preserve"> 有效投标应符合以下原则：</w:t>
      </w:r>
    </w:p>
    <w:p w14:paraId="00D57B49">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（一）满足</w:t>
      </w:r>
      <w:r>
        <w:rPr>
          <w:rFonts w:hint="eastAsia" w:ascii="宋体" w:hAnsi="宋体" w:cs="宋体"/>
          <w:kern w:val="2"/>
          <w:sz w:val="21"/>
          <w:szCs w:val="21"/>
          <w:lang w:val="en-US" w:eastAsia="zh-CN" w:bidi="ar"/>
        </w:rPr>
        <w:t>遴选文件</w:t>
      </w:r>
      <w:r>
        <w:rPr>
          <w:rFonts w:hint="eastAsia" w:ascii="宋体" w:hAnsi="宋体" w:eastAsia="宋体" w:cs="宋体"/>
          <w:kern w:val="2"/>
          <w:sz w:val="21"/>
          <w:szCs w:val="21"/>
          <w:lang w:val="en-US" w:eastAsia="zh-CN" w:bidi="ar"/>
        </w:rPr>
        <w:t>的实质性要求；</w:t>
      </w:r>
    </w:p>
    <w:p w14:paraId="2ACEEDA7">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（二）无重大偏离、保留或招标人不能接受的附加条件；</w:t>
      </w:r>
    </w:p>
    <w:p w14:paraId="1946FC30">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（三）通过投标有效性评审；</w:t>
      </w:r>
    </w:p>
    <w:p w14:paraId="5BD61D21">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（四）评委会依据</w:t>
      </w:r>
      <w:r>
        <w:rPr>
          <w:rFonts w:hint="eastAsia" w:ascii="宋体" w:hAnsi="宋体" w:cs="宋体"/>
          <w:kern w:val="2"/>
          <w:sz w:val="21"/>
          <w:szCs w:val="21"/>
          <w:lang w:val="en-US" w:eastAsia="zh-CN" w:bidi="ar"/>
        </w:rPr>
        <w:t>遴选文件</w:t>
      </w:r>
      <w:r>
        <w:rPr>
          <w:rFonts w:hint="eastAsia" w:ascii="宋体" w:hAnsi="宋体" w:eastAsia="宋体" w:cs="宋体"/>
          <w:kern w:val="2"/>
          <w:sz w:val="21"/>
          <w:szCs w:val="21"/>
          <w:lang w:val="en-US" w:eastAsia="zh-CN" w:bidi="ar"/>
        </w:rPr>
        <w:t>认定的其他原则。</w:t>
      </w:r>
    </w:p>
    <w:p w14:paraId="6D7E3DDD">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2"/>
          <w:sz w:val="21"/>
          <w:szCs w:val="21"/>
        </w:rPr>
      </w:pPr>
      <w:r>
        <w:rPr>
          <w:rFonts w:hint="eastAsia" w:ascii="宋体" w:hAnsi="宋体" w:eastAsia="宋体" w:cs="宋体"/>
          <w:b/>
          <w:bCs/>
          <w:kern w:val="2"/>
          <w:sz w:val="21"/>
          <w:szCs w:val="21"/>
          <w:lang w:val="en-US" w:eastAsia="zh-CN" w:bidi="ar"/>
        </w:rPr>
        <w:t>第七条</w:t>
      </w:r>
      <w:r>
        <w:rPr>
          <w:rFonts w:hint="eastAsia" w:ascii="宋体" w:hAnsi="宋体" w:eastAsia="宋体" w:cs="宋体"/>
          <w:kern w:val="2"/>
          <w:sz w:val="21"/>
          <w:szCs w:val="21"/>
          <w:lang w:val="en-US" w:eastAsia="zh-CN" w:bidi="ar"/>
        </w:rPr>
        <w:t xml:space="preserve"> 评委会对投标文件独立评审，按照综合得分由高到低的原则确定中标候选人。</w:t>
      </w:r>
    </w:p>
    <w:p w14:paraId="4446BC0B">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2"/>
          <w:sz w:val="21"/>
          <w:szCs w:val="21"/>
        </w:rPr>
      </w:pPr>
      <w:r>
        <w:rPr>
          <w:rFonts w:hint="eastAsia" w:ascii="宋体" w:hAnsi="宋体" w:eastAsia="宋体" w:cs="宋体"/>
          <w:b/>
          <w:bCs/>
          <w:kern w:val="2"/>
          <w:sz w:val="21"/>
          <w:szCs w:val="21"/>
          <w:lang w:val="en-US" w:eastAsia="zh-CN" w:bidi="ar"/>
        </w:rPr>
        <w:t>第八条</w:t>
      </w:r>
      <w:r>
        <w:rPr>
          <w:rFonts w:hint="eastAsia" w:ascii="宋体" w:hAnsi="宋体" w:eastAsia="宋体" w:cs="宋体"/>
          <w:kern w:val="2"/>
          <w:sz w:val="21"/>
          <w:szCs w:val="21"/>
          <w:lang w:val="en-US" w:eastAsia="zh-CN" w:bidi="ar"/>
        </w:rPr>
        <w:t xml:space="preserve"> 评审中，评委会发现投标人的投标文件中对同类问题表述不一致、前后矛盾、 有明显文字和计算错误的内容、有可能不符合</w:t>
      </w:r>
      <w:r>
        <w:rPr>
          <w:rFonts w:hint="eastAsia" w:ascii="宋体" w:hAnsi="宋体" w:cs="宋体"/>
          <w:kern w:val="2"/>
          <w:sz w:val="21"/>
          <w:szCs w:val="21"/>
          <w:lang w:val="en-US" w:eastAsia="zh-CN" w:bidi="ar"/>
        </w:rPr>
        <w:t>遴选文件</w:t>
      </w:r>
      <w:r>
        <w:rPr>
          <w:rFonts w:hint="eastAsia" w:ascii="宋体" w:hAnsi="宋体" w:eastAsia="宋体" w:cs="宋体"/>
          <w:kern w:val="2"/>
          <w:sz w:val="21"/>
          <w:szCs w:val="21"/>
          <w:lang w:val="en-US" w:eastAsia="zh-CN" w:bidi="ar"/>
        </w:rPr>
        <w:t>规定等情况需要澄清时，评委会将以询标的方式告知并要求投标人以书面方式进行必要的澄清、说明或补正。对于询标后判定为不符合</w:t>
      </w:r>
      <w:r>
        <w:rPr>
          <w:rFonts w:hint="eastAsia" w:ascii="宋体" w:hAnsi="宋体" w:cs="宋体"/>
          <w:kern w:val="2"/>
          <w:sz w:val="21"/>
          <w:szCs w:val="21"/>
          <w:lang w:val="en-US" w:eastAsia="zh-CN" w:bidi="ar"/>
        </w:rPr>
        <w:t>遴选文件</w:t>
      </w:r>
      <w:r>
        <w:rPr>
          <w:rFonts w:hint="eastAsia" w:ascii="宋体" w:hAnsi="宋体" w:eastAsia="宋体" w:cs="宋体"/>
          <w:kern w:val="2"/>
          <w:sz w:val="21"/>
          <w:szCs w:val="21"/>
          <w:lang w:val="en-US" w:eastAsia="zh-CN" w:bidi="ar"/>
        </w:rPr>
        <w:t>的投标文件，评委要提出充足的否定理由。最终对投标人的评审结论分为通过和未通过。</w:t>
      </w:r>
    </w:p>
    <w:p w14:paraId="19978531">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2"/>
          <w:sz w:val="21"/>
          <w:szCs w:val="21"/>
        </w:rPr>
      </w:pPr>
      <w:r>
        <w:rPr>
          <w:rFonts w:hint="eastAsia" w:ascii="宋体" w:hAnsi="宋体" w:eastAsia="宋体" w:cs="宋体"/>
          <w:b/>
          <w:bCs/>
          <w:kern w:val="2"/>
          <w:sz w:val="21"/>
          <w:szCs w:val="21"/>
          <w:lang w:val="en-US" w:eastAsia="zh-CN" w:bidi="ar"/>
        </w:rPr>
        <w:t>第九条</w:t>
      </w:r>
      <w:r>
        <w:rPr>
          <w:rFonts w:hint="eastAsia" w:ascii="宋体" w:hAnsi="宋体" w:eastAsia="宋体" w:cs="宋体"/>
          <w:kern w:val="2"/>
          <w:sz w:val="21"/>
          <w:szCs w:val="21"/>
          <w:lang w:val="en-US" w:eastAsia="zh-CN" w:bidi="ar"/>
        </w:rPr>
        <w:t xml:space="preserve"> 评委会按下表内容进行投标有效性评审。</w:t>
      </w:r>
    </w:p>
    <w:p w14:paraId="577653C3">
      <w:pPr>
        <w:keepNext w:val="0"/>
        <w:keepLines w:val="0"/>
        <w:widowControl w:val="0"/>
        <w:suppressLineNumbers w:val="0"/>
        <w:autoSpaceDE w:val="0"/>
        <w:autoSpaceDN w:val="0"/>
        <w:spacing w:before="0" w:beforeAutospacing="0" w:after="0" w:afterAutospacing="0" w:line="360" w:lineRule="auto"/>
        <w:ind w:left="0" w:right="0" w:firstLine="420" w:firstLineChars="200"/>
        <w:jc w:val="left"/>
        <w:outlineLvl w:val="2"/>
        <w:rPr>
          <w:rFonts w:hint="eastAsia" w:ascii="宋体" w:hAnsi="宋体" w:eastAsia="宋体" w:cs="宋体"/>
          <w:b/>
          <w:bCs/>
          <w:kern w:val="2"/>
          <w:sz w:val="21"/>
          <w:szCs w:val="21"/>
        </w:rPr>
      </w:pPr>
      <w:r>
        <w:rPr>
          <w:rFonts w:hint="eastAsia" w:ascii="宋体" w:hAnsi="宋体" w:eastAsia="宋体" w:cs="宋体"/>
          <w:b/>
          <w:bCs/>
          <w:kern w:val="2"/>
          <w:sz w:val="21"/>
          <w:szCs w:val="21"/>
          <w:lang w:val="en-US" w:eastAsia="zh-CN" w:bidi="ar"/>
        </w:rPr>
        <w:t>二、初步评审（形式、资格、响应性评审）</w:t>
      </w:r>
    </w:p>
    <w:tbl>
      <w:tblPr>
        <w:tblStyle w:val="19"/>
        <w:tblW w:w="910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Layout w:type="fixed"/>
        <w:tblCellMar>
          <w:top w:w="0" w:type="dxa"/>
          <w:left w:w="0" w:type="dxa"/>
          <w:bottom w:w="0" w:type="dxa"/>
          <w:right w:w="0" w:type="dxa"/>
        </w:tblCellMar>
      </w:tblPr>
      <w:tblGrid>
        <w:gridCol w:w="872"/>
        <w:gridCol w:w="1306"/>
        <w:gridCol w:w="2448"/>
        <w:gridCol w:w="4476"/>
      </w:tblGrid>
      <w:tr w14:paraId="1C511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CellMar>
            <w:top w:w="0" w:type="dxa"/>
            <w:left w:w="0" w:type="dxa"/>
            <w:bottom w:w="0" w:type="dxa"/>
            <w:right w:w="0" w:type="dxa"/>
          </w:tblCellMar>
        </w:tblPrEx>
        <w:trPr>
          <w:trHeight w:val="525" w:hRule="atLeast"/>
          <w:jc w:val="center"/>
        </w:trPr>
        <w:tc>
          <w:tcPr>
            <w:tcW w:w="2178"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29466FF8">
            <w:pPr>
              <w:pStyle w:val="29"/>
              <w:keepNext w:val="0"/>
              <w:keepLines w:val="0"/>
              <w:widowControl w:val="0"/>
              <w:suppressLineNumbers w:val="0"/>
              <w:autoSpaceDE w:val="0"/>
              <w:autoSpaceDN w:val="0"/>
              <w:ind w:left="0" w:right="0"/>
              <w:jc w:val="center"/>
              <w:rPr>
                <w:rFonts w:hint="eastAsia" w:ascii="宋体" w:hAnsi="宋体" w:eastAsia="宋体" w:cs="宋体"/>
                <w:b/>
                <w:bCs w:val="0"/>
                <w:sz w:val="21"/>
                <w:szCs w:val="21"/>
              </w:rPr>
            </w:pPr>
            <w:r>
              <w:rPr>
                <w:rFonts w:hint="eastAsia" w:ascii="宋体" w:hAnsi="宋体" w:eastAsia="宋体" w:cs="宋体"/>
                <w:b/>
                <w:bCs w:val="0"/>
                <w:spacing w:val="15"/>
                <w:w w:val="95"/>
                <w:sz w:val="21"/>
                <w:szCs w:val="21"/>
              </w:rPr>
              <w:t>条款</w:t>
            </w:r>
            <w:r>
              <w:rPr>
                <w:rFonts w:hint="eastAsia" w:ascii="宋体" w:hAnsi="宋体" w:eastAsia="宋体" w:cs="宋体"/>
                <w:b/>
                <w:bCs w:val="0"/>
                <w:spacing w:val="5"/>
                <w:w w:val="95"/>
                <w:sz w:val="21"/>
                <w:szCs w:val="21"/>
              </w:rPr>
              <w:t>号</w:t>
            </w:r>
          </w:p>
        </w:tc>
        <w:tc>
          <w:tcPr>
            <w:tcW w:w="244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093805C">
            <w:pPr>
              <w:pStyle w:val="29"/>
              <w:keepNext w:val="0"/>
              <w:keepLines w:val="0"/>
              <w:widowControl w:val="0"/>
              <w:suppressLineNumbers w:val="0"/>
              <w:autoSpaceDE w:val="0"/>
              <w:autoSpaceDN w:val="0"/>
              <w:ind w:left="0" w:right="0"/>
              <w:jc w:val="center"/>
              <w:rPr>
                <w:rFonts w:hint="eastAsia" w:ascii="宋体" w:hAnsi="宋体" w:eastAsia="宋体" w:cs="宋体"/>
                <w:b/>
                <w:bCs w:val="0"/>
                <w:sz w:val="21"/>
                <w:szCs w:val="21"/>
              </w:rPr>
            </w:pPr>
            <w:r>
              <w:rPr>
                <w:rFonts w:hint="eastAsia" w:ascii="宋体" w:hAnsi="宋体" w:eastAsia="宋体" w:cs="宋体"/>
                <w:b/>
                <w:bCs w:val="0"/>
                <w:spacing w:val="15"/>
                <w:w w:val="95"/>
                <w:sz w:val="21"/>
                <w:szCs w:val="21"/>
              </w:rPr>
              <w:t>评审因</w:t>
            </w:r>
            <w:r>
              <w:rPr>
                <w:rFonts w:hint="eastAsia" w:ascii="宋体" w:hAnsi="宋体" w:eastAsia="宋体" w:cs="宋体"/>
                <w:b/>
                <w:bCs w:val="0"/>
                <w:spacing w:val="5"/>
                <w:w w:val="95"/>
                <w:sz w:val="21"/>
                <w:szCs w:val="21"/>
              </w:rPr>
              <w:t>素</w:t>
            </w:r>
          </w:p>
        </w:tc>
        <w:tc>
          <w:tcPr>
            <w:tcW w:w="447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295132E">
            <w:pPr>
              <w:pStyle w:val="29"/>
              <w:keepNext w:val="0"/>
              <w:keepLines w:val="0"/>
              <w:widowControl w:val="0"/>
              <w:suppressLineNumbers w:val="0"/>
              <w:autoSpaceDE w:val="0"/>
              <w:autoSpaceDN w:val="0"/>
              <w:ind w:left="0" w:right="0"/>
              <w:jc w:val="center"/>
              <w:rPr>
                <w:rFonts w:hint="eastAsia" w:ascii="宋体" w:hAnsi="宋体" w:eastAsia="宋体" w:cs="宋体"/>
                <w:b/>
                <w:bCs w:val="0"/>
                <w:sz w:val="21"/>
                <w:szCs w:val="21"/>
              </w:rPr>
            </w:pPr>
            <w:r>
              <w:rPr>
                <w:rFonts w:hint="eastAsia" w:ascii="宋体" w:hAnsi="宋体" w:eastAsia="宋体" w:cs="宋体"/>
                <w:b/>
                <w:bCs w:val="0"/>
                <w:spacing w:val="15"/>
                <w:w w:val="95"/>
                <w:sz w:val="21"/>
                <w:szCs w:val="21"/>
              </w:rPr>
              <w:t>评审标</w:t>
            </w:r>
            <w:r>
              <w:rPr>
                <w:rFonts w:hint="eastAsia" w:ascii="宋体" w:hAnsi="宋体" w:eastAsia="宋体" w:cs="宋体"/>
                <w:b/>
                <w:bCs w:val="0"/>
                <w:spacing w:val="5"/>
                <w:w w:val="95"/>
                <w:sz w:val="21"/>
                <w:szCs w:val="21"/>
              </w:rPr>
              <w:t>准</w:t>
            </w:r>
          </w:p>
        </w:tc>
      </w:tr>
      <w:tr w14:paraId="3460F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CellMar>
            <w:top w:w="0" w:type="dxa"/>
            <w:left w:w="0" w:type="dxa"/>
            <w:bottom w:w="0" w:type="dxa"/>
            <w:right w:w="0" w:type="dxa"/>
          </w:tblCellMar>
        </w:tblPrEx>
        <w:trPr>
          <w:trHeight w:val="420" w:hRule="atLeast"/>
          <w:jc w:val="center"/>
        </w:trPr>
        <w:tc>
          <w:tcPr>
            <w:tcW w:w="872" w:type="dxa"/>
            <w:vMerge w:val="restart"/>
            <w:tcBorders>
              <w:top w:val="nil"/>
              <w:left w:val="single" w:color="000000" w:sz="6" w:space="0"/>
              <w:bottom w:val="single" w:color="000000" w:sz="6" w:space="0"/>
              <w:right w:val="single" w:color="000000" w:sz="6" w:space="0"/>
            </w:tcBorders>
            <w:shd w:val="clear" w:color="auto" w:fill="auto"/>
            <w:vAlign w:val="center"/>
          </w:tcPr>
          <w:p w14:paraId="6CEE73C0">
            <w:pPr>
              <w:keepNext w:val="0"/>
              <w:keepLines w:val="0"/>
              <w:widowControl/>
              <w:suppressLineNumbers w:val="0"/>
              <w:autoSpaceDE w:val="0"/>
              <w:autoSpaceDN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1</w:t>
            </w:r>
          </w:p>
        </w:tc>
        <w:tc>
          <w:tcPr>
            <w:tcW w:w="1306" w:type="dxa"/>
            <w:vMerge w:val="restart"/>
            <w:tcBorders>
              <w:top w:val="nil"/>
              <w:left w:val="single" w:color="000000" w:sz="6" w:space="0"/>
              <w:bottom w:val="single" w:color="000000" w:sz="6" w:space="0"/>
              <w:right w:val="single" w:color="000000" w:sz="6" w:space="0"/>
            </w:tcBorders>
            <w:shd w:val="clear" w:color="auto" w:fill="auto"/>
            <w:vAlign w:val="center"/>
          </w:tcPr>
          <w:p w14:paraId="431DFC10">
            <w:pPr>
              <w:keepNext w:val="0"/>
              <w:keepLines w:val="0"/>
              <w:widowControl/>
              <w:suppressLineNumbers w:val="0"/>
              <w:autoSpaceDE w:val="0"/>
              <w:autoSpaceDN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形式评审标 准</w:t>
            </w:r>
          </w:p>
        </w:tc>
        <w:tc>
          <w:tcPr>
            <w:tcW w:w="244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C2F9BDB">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投标人名称</w:t>
            </w:r>
          </w:p>
        </w:tc>
        <w:tc>
          <w:tcPr>
            <w:tcW w:w="447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CD83C0B">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与营业执照一致</w:t>
            </w:r>
          </w:p>
        </w:tc>
      </w:tr>
      <w:tr w14:paraId="1CADC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CellMar>
            <w:top w:w="0" w:type="dxa"/>
            <w:left w:w="0" w:type="dxa"/>
            <w:bottom w:w="0" w:type="dxa"/>
            <w:right w:w="0" w:type="dxa"/>
          </w:tblCellMar>
        </w:tblPrEx>
        <w:trPr>
          <w:trHeight w:val="721" w:hRule="atLeast"/>
          <w:jc w:val="center"/>
        </w:trPr>
        <w:tc>
          <w:tcPr>
            <w:tcW w:w="872" w:type="dxa"/>
            <w:vMerge w:val="continue"/>
            <w:tcBorders>
              <w:top w:val="nil"/>
              <w:left w:val="single" w:color="000000" w:sz="6" w:space="0"/>
              <w:bottom w:val="single" w:color="000000" w:sz="6" w:space="0"/>
              <w:right w:val="single" w:color="000000" w:sz="6" w:space="0"/>
            </w:tcBorders>
            <w:shd w:val="clear" w:color="auto" w:fill="auto"/>
            <w:vAlign w:val="center"/>
          </w:tcPr>
          <w:p w14:paraId="76439781">
            <w:pPr>
              <w:keepNext w:val="0"/>
              <w:keepLines w:val="0"/>
              <w:suppressLineNumbers w:val="0"/>
              <w:spacing w:before="0" w:beforeAutospacing="0" w:after="0" w:afterAutospacing="0"/>
              <w:ind w:left="0" w:right="0"/>
              <w:rPr>
                <w:rFonts w:hint="default" w:ascii="Times New Roman" w:hAnsi="Times New Roman" w:cs="Times New Roman"/>
                <w:sz w:val="21"/>
                <w:szCs w:val="21"/>
              </w:rPr>
            </w:pPr>
          </w:p>
        </w:tc>
        <w:tc>
          <w:tcPr>
            <w:tcW w:w="1306" w:type="dxa"/>
            <w:vMerge w:val="continue"/>
            <w:tcBorders>
              <w:top w:val="nil"/>
              <w:left w:val="single" w:color="000000" w:sz="6" w:space="0"/>
              <w:bottom w:val="single" w:color="000000" w:sz="6" w:space="0"/>
              <w:right w:val="single" w:color="000000" w:sz="6" w:space="0"/>
            </w:tcBorders>
            <w:shd w:val="clear" w:color="auto" w:fill="auto"/>
            <w:vAlign w:val="center"/>
          </w:tcPr>
          <w:p w14:paraId="01F5ABB4">
            <w:pPr>
              <w:keepNext w:val="0"/>
              <w:keepLines w:val="0"/>
              <w:suppressLineNumbers w:val="0"/>
              <w:spacing w:before="0" w:beforeAutospacing="0" w:after="0" w:afterAutospacing="0"/>
              <w:ind w:left="0" w:right="0"/>
              <w:rPr>
                <w:rFonts w:hint="default" w:ascii="Times New Roman" w:hAnsi="Times New Roman" w:cs="Times New Roman"/>
                <w:sz w:val="21"/>
                <w:szCs w:val="21"/>
              </w:rPr>
            </w:pPr>
          </w:p>
        </w:tc>
        <w:tc>
          <w:tcPr>
            <w:tcW w:w="244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31BBACD">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投标函签字盖章</w:t>
            </w:r>
          </w:p>
        </w:tc>
        <w:tc>
          <w:tcPr>
            <w:tcW w:w="447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B51E5C9">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有法定代表人或其委托代理人签字或盖章并加盖单位章</w:t>
            </w:r>
          </w:p>
        </w:tc>
      </w:tr>
      <w:tr w14:paraId="354A1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CellMar>
            <w:top w:w="0" w:type="dxa"/>
            <w:left w:w="0" w:type="dxa"/>
            <w:bottom w:w="0" w:type="dxa"/>
            <w:right w:w="0" w:type="dxa"/>
          </w:tblCellMar>
        </w:tblPrEx>
        <w:trPr>
          <w:trHeight w:val="555" w:hRule="atLeast"/>
          <w:jc w:val="center"/>
        </w:trPr>
        <w:tc>
          <w:tcPr>
            <w:tcW w:w="872" w:type="dxa"/>
            <w:vMerge w:val="continue"/>
            <w:tcBorders>
              <w:top w:val="nil"/>
              <w:left w:val="single" w:color="000000" w:sz="6" w:space="0"/>
              <w:bottom w:val="single" w:color="000000" w:sz="6" w:space="0"/>
              <w:right w:val="single" w:color="000000" w:sz="6" w:space="0"/>
            </w:tcBorders>
            <w:shd w:val="clear" w:color="auto" w:fill="auto"/>
            <w:vAlign w:val="center"/>
          </w:tcPr>
          <w:p w14:paraId="31831269">
            <w:pPr>
              <w:keepNext w:val="0"/>
              <w:keepLines w:val="0"/>
              <w:suppressLineNumbers w:val="0"/>
              <w:spacing w:before="0" w:beforeAutospacing="0" w:after="0" w:afterAutospacing="0"/>
              <w:ind w:left="0" w:right="0"/>
              <w:rPr>
                <w:rFonts w:hint="default" w:ascii="Times New Roman" w:hAnsi="Times New Roman" w:cs="Times New Roman"/>
                <w:sz w:val="21"/>
                <w:szCs w:val="21"/>
              </w:rPr>
            </w:pPr>
          </w:p>
        </w:tc>
        <w:tc>
          <w:tcPr>
            <w:tcW w:w="1306" w:type="dxa"/>
            <w:vMerge w:val="continue"/>
            <w:tcBorders>
              <w:top w:val="nil"/>
              <w:left w:val="single" w:color="000000" w:sz="6" w:space="0"/>
              <w:bottom w:val="single" w:color="000000" w:sz="6" w:space="0"/>
              <w:right w:val="single" w:color="000000" w:sz="6" w:space="0"/>
            </w:tcBorders>
            <w:shd w:val="clear" w:color="auto" w:fill="auto"/>
            <w:vAlign w:val="center"/>
          </w:tcPr>
          <w:p w14:paraId="1AF8EFB7">
            <w:pPr>
              <w:keepNext w:val="0"/>
              <w:keepLines w:val="0"/>
              <w:suppressLineNumbers w:val="0"/>
              <w:spacing w:before="0" w:beforeAutospacing="0" w:after="0" w:afterAutospacing="0"/>
              <w:ind w:left="0" w:right="0"/>
              <w:rPr>
                <w:rFonts w:hint="default" w:ascii="Times New Roman" w:hAnsi="Times New Roman" w:cs="Times New Roman"/>
                <w:sz w:val="21"/>
                <w:szCs w:val="21"/>
              </w:rPr>
            </w:pPr>
          </w:p>
        </w:tc>
        <w:tc>
          <w:tcPr>
            <w:tcW w:w="244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2500239">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投标文件格式</w:t>
            </w:r>
          </w:p>
        </w:tc>
        <w:tc>
          <w:tcPr>
            <w:tcW w:w="447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5A088C0">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符合</w:t>
            </w:r>
            <w:r>
              <w:rPr>
                <w:rFonts w:hint="eastAsia" w:ascii="宋体" w:hAnsi="宋体" w:cs="宋体"/>
                <w:i w:val="0"/>
                <w:iCs w:val="0"/>
                <w:color w:val="000000"/>
                <w:kern w:val="0"/>
                <w:sz w:val="21"/>
                <w:szCs w:val="21"/>
                <w:lang w:val="en-US" w:eastAsia="zh-CN" w:bidi="ar"/>
              </w:rPr>
              <w:t>遴选文件</w:t>
            </w:r>
            <w:r>
              <w:rPr>
                <w:rFonts w:hint="eastAsia" w:ascii="宋体" w:hAnsi="宋体" w:eastAsia="宋体" w:cs="宋体"/>
                <w:i w:val="0"/>
                <w:iCs w:val="0"/>
                <w:color w:val="000000"/>
                <w:kern w:val="0"/>
                <w:sz w:val="21"/>
                <w:szCs w:val="21"/>
                <w:lang w:val="en-US" w:eastAsia="zh-CN" w:bidi="ar"/>
              </w:rPr>
              <w:t>要求</w:t>
            </w:r>
          </w:p>
        </w:tc>
      </w:tr>
      <w:tr w14:paraId="07B6C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5" w:hRule="atLeast"/>
          <w:jc w:val="center"/>
        </w:trPr>
        <w:tc>
          <w:tcPr>
            <w:tcW w:w="872" w:type="dxa"/>
            <w:vMerge w:val="continue"/>
            <w:tcBorders>
              <w:top w:val="nil"/>
              <w:left w:val="single" w:color="000000" w:sz="6" w:space="0"/>
              <w:bottom w:val="single" w:color="000000" w:sz="6" w:space="0"/>
              <w:right w:val="single" w:color="000000" w:sz="6" w:space="0"/>
            </w:tcBorders>
            <w:shd w:val="clear" w:color="auto" w:fill="auto"/>
            <w:vAlign w:val="center"/>
          </w:tcPr>
          <w:p w14:paraId="358B99C4">
            <w:pPr>
              <w:keepNext w:val="0"/>
              <w:keepLines w:val="0"/>
              <w:suppressLineNumbers w:val="0"/>
              <w:spacing w:before="0" w:beforeAutospacing="0" w:after="0" w:afterAutospacing="0"/>
              <w:ind w:left="0" w:right="0"/>
              <w:rPr>
                <w:rFonts w:hint="default" w:ascii="Times New Roman" w:hAnsi="Times New Roman" w:cs="Times New Roman"/>
                <w:sz w:val="21"/>
                <w:szCs w:val="21"/>
              </w:rPr>
            </w:pPr>
          </w:p>
        </w:tc>
        <w:tc>
          <w:tcPr>
            <w:tcW w:w="1306" w:type="dxa"/>
            <w:vMerge w:val="continue"/>
            <w:tcBorders>
              <w:top w:val="nil"/>
              <w:left w:val="single" w:color="000000" w:sz="6" w:space="0"/>
              <w:bottom w:val="single" w:color="000000" w:sz="6" w:space="0"/>
              <w:right w:val="single" w:color="000000" w:sz="6" w:space="0"/>
            </w:tcBorders>
            <w:shd w:val="clear" w:color="auto" w:fill="auto"/>
            <w:vAlign w:val="center"/>
          </w:tcPr>
          <w:p w14:paraId="410EF2A4">
            <w:pPr>
              <w:keepNext w:val="0"/>
              <w:keepLines w:val="0"/>
              <w:suppressLineNumbers w:val="0"/>
              <w:spacing w:before="0" w:beforeAutospacing="0" w:after="0" w:afterAutospacing="0"/>
              <w:ind w:left="0" w:right="0"/>
              <w:rPr>
                <w:rFonts w:hint="default" w:ascii="Times New Roman" w:hAnsi="Times New Roman" w:cs="Times New Roman"/>
                <w:sz w:val="21"/>
                <w:szCs w:val="21"/>
              </w:rPr>
            </w:pPr>
          </w:p>
        </w:tc>
        <w:tc>
          <w:tcPr>
            <w:tcW w:w="244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086FADC">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投标报价</w:t>
            </w:r>
          </w:p>
        </w:tc>
        <w:tc>
          <w:tcPr>
            <w:tcW w:w="447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5A835CF">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符合</w:t>
            </w:r>
            <w:r>
              <w:rPr>
                <w:rFonts w:hint="eastAsia" w:ascii="宋体" w:hAnsi="宋体" w:cs="宋体"/>
                <w:i w:val="0"/>
                <w:iCs w:val="0"/>
                <w:color w:val="000000"/>
                <w:kern w:val="0"/>
                <w:sz w:val="21"/>
                <w:szCs w:val="21"/>
                <w:lang w:val="en-US" w:eastAsia="zh-CN" w:bidi="ar"/>
              </w:rPr>
              <w:t>遴选文件</w:t>
            </w:r>
            <w:r>
              <w:rPr>
                <w:rFonts w:hint="eastAsia" w:ascii="宋体" w:hAnsi="宋体" w:eastAsia="宋体" w:cs="宋体"/>
                <w:i w:val="0"/>
                <w:iCs w:val="0"/>
                <w:color w:val="000000"/>
                <w:kern w:val="0"/>
                <w:sz w:val="21"/>
                <w:szCs w:val="21"/>
                <w:lang w:val="en-US" w:eastAsia="zh-CN" w:bidi="ar"/>
              </w:rPr>
              <w:t>要求</w:t>
            </w:r>
          </w:p>
        </w:tc>
      </w:tr>
      <w:tr w14:paraId="7C2AE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CellMar>
            <w:top w:w="0" w:type="dxa"/>
            <w:left w:w="0" w:type="dxa"/>
            <w:bottom w:w="0" w:type="dxa"/>
            <w:right w:w="0" w:type="dxa"/>
          </w:tblCellMar>
        </w:tblPrEx>
        <w:trPr>
          <w:trHeight w:val="465" w:hRule="atLeast"/>
          <w:jc w:val="center"/>
        </w:trPr>
        <w:tc>
          <w:tcPr>
            <w:tcW w:w="872" w:type="dxa"/>
            <w:vMerge w:val="continue"/>
            <w:tcBorders>
              <w:top w:val="nil"/>
              <w:left w:val="single" w:color="000000" w:sz="6" w:space="0"/>
              <w:bottom w:val="single" w:color="000000" w:sz="6" w:space="0"/>
              <w:right w:val="single" w:color="000000" w:sz="6" w:space="0"/>
            </w:tcBorders>
            <w:shd w:val="clear" w:color="auto" w:fill="auto"/>
            <w:vAlign w:val="center"/>
          </w:tcPr>
          <w:p w14:paraId="58C3D48A">
            <w:pPr>
              <w:keepNext w:val="0"/>
              <w:keepLines w:val="0"/>
              <w:suppressLineNumbers w:val="0"/>
              <w:spacing w:before="0" w:beforeAutospacing="0" w:after="0" w:afterAutospacing="0"/>
              <w:ind w:left="0" w:right="0"/>
              <w:rPr>
                <w:rFonts w:hint="default" w:ascii="Times New Roman" w:hAnsi="Times New Roman" w:cs="Times New Roman"/>
                <w:sz w:val="21"/>
                <w:szCs w:val="21"/>
              </w:rPr>
            </w:pPr>
          </w:p>
        </w:tc>
        <w:tc>
          <w:tcPr>
            <w:tcW w:w="1306" w:type="dxa"/>
            <w:vMerge w:val="continue"/>
            <w:tcBorders>
              <w:top w:val="nil"/>
              <w:left w:val="single" w:color="000000" w:sz="6" w:space="0"/>
              <w:bottom w:val="single" w:color="000000" w:sz="6" w:space="0"/>
              <w:right w:val="single" w:color="000000" w:sz="6" w:space="0"/>
            </w:tcBorders>
            <w:shd w:val="clear" w:color="auto" w:fill="auto"/>
            <w:vAlign w:val="center"/>
          </w:tcPr>
          <w:p w14:paraId="7712C9E8">
            <w:pPr>
              <w:keepNext w:val="0"/>
              <w:keepLines w:val="0"/>
              <w:suppressLineNumbers w:val="0"/>
              <w:spacing w:before="0" w:beforeAutospacing="0" w:after="0" w:afterAutospacing="0"/>
              <w:ind w:left="0" w:right="0"/>
              <w:rPr>
                <w:rFonts w:hint="default" w:ascii="Times New Roman" w:hAnsi="Times New Roman" w:cs="Times New Roman"/>
                <w:sz w:val="21"/>
                <w:szCs w:val="21"/>
              </w:rPr>
            </w:pPr>
          </w:p>
        </w:tc>
        <w:tc>
          <w:tcPr>
            <w:tcW w:w="244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95CA553">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投标人资格</w:t>
            </w:r>
          </w:p>
        </w:tc>
        <w:tc>
          <w:tcPr>
            <w:tcW w:w="447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610FB73">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符合</w:t>
            </w:r>
            <w:r>
              <w:rPr>
                <w:rFonts w:hint="eastAsia" w:ascii="宋体" w:hAnsi="宋体" w:cs="宋体"/>
                <w:i w:val="0"/>
                <w:iCs w:val="0"/>
                <w:color w:val="000000"/>
                <w:kern w:val="0"/>
                <w:sz w:val="21"/>
                <w:szCs w:val="21"/>
                <w:lang w:val="en-US" w:eastAsia="zh-CN" w:bidi="ar"/>
              </w:rPr>
              <w:t>遴选文件</w:t>
            </w:r>
            <w:r>
              <w:rPr>
                <w:rFonts w:hint="eastAsia" w:ascii="宋体" w:hAnsi="宋体" w:eastAsia="宋体" w:cs="宋体"/>
                <w:i w:val="0"/>
                <w:iCs w:val="0"/>
                <w:color w:val="000000"/>
                <w:kern w:val="0"/>
                <w:sz w:val="21"/>
                <w:szCs w:val="21"/>
                <w:lang w:val="en-US" w:eastAsia="zh-CN" w:bidi="ar"/>
              </w:rPr>
              <w:t>要求</w:t>
            </w:r>
          </w:p>
        </w:tc>
      </w:tr>
      <w:tr w14:paraId="09632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CellMar>
            <w:top w:w="0" w:type="dxa"/>
            <w:left w:w="0" w:type="dxa"/>
            <w:bottom w:w="0" w:type="dxa"/>
            <w:right w:w="0" w:type="dxa"/>
          </w:tblCellMar>
        </w:tblPrEx>
        <w:trPr>
          <w:trHeight w:val="420" w:hRule="atLeast"/>
          <w:jc w:val="center"/>
        </w:trPr>
        <w:tc>
          <w:tcPr>
            <w:tcW w:w="872" w:type="dxa"/>
            <w:vMerge w:val="continue"/>
            <w:tcBorders>
              <w:top w:val="nil"/>
              <w:left w:val="single" w:color="000000" w:sz="6" w:space="0"/>
              <w:bottom w:val="single" w:color="000000" w:sz="6" w:space="0"/>
              <w:right w:val="single" w:color="000000" w:sz="6" w:space="0"/>
            </w:tcBorders>
            <w:shd w:val="clear" w:color="auto" w:fill="auto"/>
            <w:vAlign w:val="center"/>
          </w:tcPr>
          <w:p w14:paraId="4E0199BA">
            <w:pPr>
              <w:keepNext w:val="0"/>
              <w:keepLines w:val="0"/>
              <w:suppressLineNumbers w:val="0"/>
              <w:spacing w:before="0" w:beforeAutospacing="0" w:after="0" w:afterAutospacing="0"/>
              <w:ind w:left="0" w:right="0"/>
              <w:rPr>
                <w:rFonts w:hint="default" w:ascii="Times New Roman" w:hAnsi="Times New Roman" w:cs="Times New Roman"/>
                <w:sz w:val="21"/>
                <w:szCs w:val="21"/>
              </w:rPr>
            </w:pPr>
          </w:p>
        </w:tc>
        <w:tc>
          <w:tcPr>
            <w:tcW w:w="1306" w:type="dxa"/>
            <w:vMerge w:val="continue"/>
            <w:tcBorders>
              <w:top w:val="nil"/>
              <w:left w:val="single" w:color="000000" w:sz="6" w:space="0"/>
              <w:bottom w:val="single" w:color="000000" w:sz="6" w:space="0"/>
              <w:right w:val="single" w:color="000000" w:sz="6" w:space="0"/>
            </w:tcBorders>
            <w:shd w:val="clear" w:color="auto" w:fill="auto"/>
            <w:vAlign w:val="center"/>
          </w:tcPr>
          <w:p w14:paraId="345B6546">
            <w:pPr>
              <w:keepNext w:val="0"/>
              <w:keepLines w:val="0"/>
              <w:suppressLineNumbers w:val="0"/>
              <w:spacing w:before="0" w:beforeAutospacing="0" w:after="0" w:afterAutospacing="0"/>
              <w:ind w:left="0" w:right="0"/>
              <w:rPr>
                <w:rFonts w:hint="default" w:ascii="Times New Roman" w:hAnsi="Times New Roman" w:cs="Times New Roman"/>
                <w:sz w:val="21"/>
                <w:szCs w:val="21"/>
              </w:rPr>
            </w:pPr>
          </w:p>
        </w:tc>
        <w:tc>
          <w:tcPr>
            <w:tcW w:w="244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42107F4">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信誉要求</w:t>
            </w:r>
          </w:p>
        </w:tc>
        <w:tc>
          <w:tcPr>
            <w:tcW w:w="447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1D38C1C">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符合</w:t>
            </w:r>
            <w:r>
              <w:rPr>
                <w:rFonts w:hint="eastAsia" w:ascii="宋体" w:hAnsi="宋体" w:cs="宋体"/>
                <w:i w:val="0"/>
                <w:iCs w:val="0"/>
                <w:color w:val="000000"/>
                <w:kern w:val="0"/>
                <w:sz w:val="21"/>
                <w:szCs w:val="21"/>
                <w:lang w:val="en-US" w:eastAsia="zh-CN" w:bidi="ar"/>
              </w:rPr>
              <w:t>遴选文件</w:t>
            </w:r>
            <w:r>
              <w:rPr>
                <w:rFonts w:hint="eastAsia" w:ascii="宋体" w:hAnsi="宋体" w:eastAsia="宋体" w:cs="宋体"/>
                <w:i w:val="0"/>
                <w:iCs w:val="0"/>
                <w:color w:val="000000"/>
                <w:kern w:val="0"/>
                <w:sz w:val="21"/>
                <w:szCs w:val="21"/>
                <w:lang w:val="en-US" w:eastAsia="zh-CN" w:bidi="ar"/>
              </w:rPr>
              <w:t>要求</w:t>
            </w:r>
          </w:p>
        </w:tc>
      </w:tr>
      <w:tr w14:paraId="32060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CellMar>
            <w:top w:w="0" w:type="dxa"/>
            <w:left w:w="0" w:type="dxa"/>
            <w:bottom w:w="0" w:type="dxa"/>
            <w:right w:w="0" w:type="dxa"/>
          </w:tblCellMar>
        </w:tblPrEx>
        <w:trPr>
          <w:trHeight w:val="615" w:hRule="atLeast"/>
          <w:jc w:val="center"/>
        </w:trPr>
        <w:tc>
          <w:tcPr>
            <w:tcW w:w="872" w:type="dxa"/>
            <w:vMerge w:val="restart"/>
            <w:tcBorders>
              <w:top w:val="nil"/>
              <w:left w:val="single" w:color="000000" w:sz="6" w:space="0"/>
              <w:bottom w:val="single" w:color="000000" w:sz="6" w:space="0"/>
              <w:right w:val="single" w:color="000000" w:sz="6" w:space="0"/>
            </w:tcBorders>
            <w:shd w:val="clear" w:color="auto" w:fill="auto"/>
            <w:vAlign w:val="center"/>
          </w:tcPr>
          <w:p w14:paraId="31AC1541">
            <w:pPr>
              <w:keepNext w:val="0"/>
              <w:keepLines w:val="0"/>
              <w:widowControl/>
              <w:suppressLineNumbers w:val="0"/>
              <w:autoSpaceDE w:val="0"/>
              <w:autoSpaceDN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2</w:t>
            </w:r>
          </w:p>
        </w:tc>
        <w:tc>
          <w:tcPr>
            <w:tcW w:w="1306" w:type="dxa"/>
            <w:vMerge w:val="restart"/>
            <w:tcBorders>
              <w:top w:val="nil"/>
              <w:left w:val="single" w:color="000000" w:sz="6" w:space="0"/>
              <w:bottom w:val="single" w:color="000000" w:sz="6" w:space="0"/>
              <w:right w:val="single" w:color="000000" w:sz="6" w:space="0"/>
            </w:tcBorders>
            <w:shd w:val="clear" w:color="auto" w:fill="auto"/>
            <w:vAlign w:val="center"/>
          </w:tcPr>
          <w:p w14:paraId="26BF21FC">
            <w:pPr>
              <w:keepNext w:val="0"/>
              <w:keepLines w:val="0"/>
              <w:widowControl/>
              <w:suppressLineNumbers w:val="0"/>
              <w:autoSpaceDE w:val="0"/>
              <w:autoSpaceDN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响应性评审标 准</w:t>
            </w:r>
          </w:p>
        </w:tc>
        <w:tc>
          <w:tcPr>
            <w:tcW w:w="244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D000546">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投标文件内容</w:t>
            </w:r>
          </w:p>
        </w:tc>
        <w:tc>
          <w:tcPr>
            <w:tcW w:w="447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854274A">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符合</w:t>
            </w:r>
            <w:r>
              <w:rPr>
                <w:rFonts w:hint="eastAsia" w:ascii="宋体" w:hAnsi="宋体" w:cs="宋体"/>
                <w:i w:val="0"/>
                <w:iCs w:val="0"/>
                <w:color w:val="000000"/>
                <w:kern w:val="0"/>
                <w:sz w:val="21"/>
                <w:szCs w:val="21"/>
                <w:lang w:val="en-US" w:eastAsia="zh-CN" w:bidi="ar"/>
              </w:rPr>
              <w:t>遴选文件</w:t>
            </w:r>
            <w:r>
              <w:rPr>
                <w:rFonts w:hint="eastAsia" w:ascii="宋体" w:hAnsi="宋体" w:eastAsia="宋体" w:cs="宋体"/>
                <w:i w:val="0"/>
                <w:iCs w:val="0"/>
                <w:color w:val="000000"/>
                <w:kern w:val="0"/>
                <w:sz w:val="21"/>
                <w:szCs w:val="21"/>
                <w:lang w:val="en-US" w:eastAsia="zh-CN" w:bidi="ar"/>
              </w:rPr>
              <w:t>规定</w:t>
            </w:r>
          </w:p>
        </w:tc>
      </w:tr>
      <w:tr w14:paraId="535DB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CellMar>
            <w:top w:w="0" w:type="dxa"/>
            <w:left w:w="0" w:type="dxa"/>
            <w:bottom w:w="0" w:type="dxa"/>
            <w:right w:w="0" w:type="dxa"/>
          </w:tblCellMar>
        </w:tblPrEx>
        <w:trPr>
          <w:trHeight w:val="465" w:hRule="atLeast"/>
          <w:jc w:val="center"/>
        </w:trPr>
        <w:tc>
          <w:tcPr>
            <w:tcW w:w="872" w:type="dxa"/>
            <w:vMerge w:val="continue"/>
            <w:tcBorders>
              <w:top w:val="nil"/>
              <w:left w:val="single" w:color="000000" w:sz="6" w:space="0"/>
              <w:bottom w:val="single" w:color="000000" w:sz="6" w:space="0"/>
              <w:right w:val="single" w:color="000000" w:sz="6" w:space="0"/>
            </w:tcBorders>
            <w:shd w:val="clear" w:color="auto" w:fill="auto"/>
            <w:vAlign w:val="center"/>
          </w:tcPr>
          <w:p w14:paraId="77DC31E6">
            <w:pPr>
              <w:keepNext w:val="0"/>
              <w:keepLines w:val="0"/>
              <w:suppressLineNumbers w:val="0"/>
              <w:spacing w:before="0" w:beforeAutospacing="0" w:after="0" w:afterAutospacing="0"/>
              <w:ind w:left="0" w:right="0"/>
              <w:rPr>
                <w:rFonts w:hint="default" w:ascii="Times New Roman" w:hAnsi="Times New Roman" w:cs="Times New Roman"/>
                <w:sz w:val="21"/>
                <w:szCs w:val="21"/>
              </w:rPr>
            </w:pPr>
          </w:p>
        </w:tc>
        <w:tc>
          <w:tcPr>
            <w:tcW w:w="1306" w:type="dxa"/>
            <w:vMerge w:val="continue"/>
            <w:tcBorders>
              <w:top w:val="nil"/>
              <w:left w:val="single" w:color="000000" w:sz="6" w:space="0"/>
              <w:bottom w:val="single" w:color="000000" w:sz="6" w:space="0"/>
              <w:right w:val="single" w:color="000000" w:sz="6" w:space="0"/>
            </w:tcBorders>
            <w:shd w:val="clear" w:color="auto" w:fill="auto"/>
            <w:vAlign w:val="center"/>
          </w:tcPr>
          <w:p w14:paraId="5594D53D">
            <w:pPr>
              <w:keepNext w:val="0"/>
              <w:keepLines w:val="0"/>
              <w:suppressLineNumbers w:val="0"/>
              <w:spacing w:before="0" w:beforeAutospacing="0" w:after="0" w:afterAutospacing="0"/>
              <w:ind w:left="0" w:right="0"/>
              <w:rPr>
                <w:rFonts w:hint="default" w:ascii="Times New Roman" w:hAnsi="Times New Roman" w:cs="Times New Roman"/>
                <w:sz w:val="21"/>
                <w:szCs w:val="21"/>
              </w:rPr>
            </w:pPr>
          </w:p>
        </w:tc>
        <w:tc>
          <w:tcPr>
            <w:tcW w:w="244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324A194">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服务期</w:t>
            </w:r>
          </w:p>
        </w:tc>
        <w:tc>
          <w:tcPr>
            <w:tcW w:w="447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9AB4040">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符合</w:t>
            </w:r>
            <w:r>
              <w:rPr>
                <w:rFonts w:hint="eastAsia" w:ascii="宋体" w:hAnsi="宋体" w:cs="宋体"/>
                <w:i w:val="0"/>
                <w:iCs w:val="0"/>
                <w:color w:val="000000"/>
                <w:kern w:val="0"/>
                <w:sz w:val="21"/>
                <w:szCs w:val="21"/>
                <w:lang w:val="en-US" w:eastAsia="zh-CN" w:bidi="ar"/>
              </w:rPr>
              <w:t>遴选文件</w:t>
            </w:r>
            <w:r>
              <w:rPr>
                <w:rFonts w:hint="eastAsia" w:ascii="宋体" w:hAnsi="宋体" w:eastAsia="宋体" w:cs="宋体"/>
                <w:i w:val="0"/>
                <w:iCs w:val="0"/>
                <w:color w:val="000000"/>
                <w:kern w:val="0"/>
                <w:sz w:val="21"/>
                <w:szCs w:val="21"/>
                <w:lang w:val="en-US" w:eastAsia="zh-CN" w:bidi="ar"/>
              </w:rPr>
              <w:t>要求</w:t>
            </w:r>
          </w:p>
        </w:tc>
      </w:tr>
      <w:tr w14:paraId="50EA7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CellMar>
            <w:top w:w="0" w:type="dxa"/>
            <w:left w:w="0" w:type="dxa"/>
            <w:bottom w:w="0" w:type="dxa"/>
            <w:right w:w="0" w:type="dxa"/>
          </w:tblCellMar>
        </w:tblPrEx>
        <w:trPr>
          <w:trHeight w:val="465" w:hRule="atLeast"/>
          <w:jc w:val="center"/>
        </w:trPr>
        <w:tc>
          <w:tcPr>
            <w:tcW w:w="872" w:type="dxa"/>
            <w:vMerge w:val="continue"/>
            <w:tcBorders>
              <w:top w:val="nil"/>
              <w:left w:val="single" w:color="000000" w:sz="6" w:space="0"/>
              <w:bottom w:val="single" w:color="000000" w:sz="6" w:space="0"/>
              <w:right w:val="single" w:color="000000" w:sz="6" w:space="0"/>
            </w:tcBorders>
            <w:shd w:val="clear" w:color="auto" w:fill="auto"/>
            <w:vAlign w:val="center"/>
          </w:tcPr>
          <w:p w14:paraId="2BF93C12">
            <w:pPr>
              <w:keepNext w:val="0"/>
              <w:keepLines w:val="0"/>
              <w:suppressLineNumbers w:val="0"/>
              <w:spacing w:before="0" w:beforeAutospacing="0" w:after="0" w:afterAutospacing="0"/>
              <w:ind w:left="0" w:right="0"/>
              <w:rPr>
                <w:rFonts w:hint="default" w:ascii="Times New Roman" w:hAnsi="Times New Roman" w:cs="Times New Roman"/>
                <w:sz w:val="21"/>
                <w:szCs w:val="21"/>
              </w:rPr>
            </w:pPr>
          </w:p>
        </w:tc>
        <w:tc>
          <w:tcPr>
            <w:tcW w:w="1306" w:type="dxa"/>
            <w:vMerge w:val="continue"/>
            <w:tcBorders>
              <w:top w:val="nil"/>
              <w:left w:val="single" w:color="000000" w:sz="6" w:space="0"/>
              <w:bottom w:val="single" w:color="000000" w:sz="6" w:space="0"/>
              <w:right w:val="single" w:color="000000" w:sz="6" w:space="0"/>
            </w:tcBorders>
            <w:shd w:val="clear" w:color="auto" w:fill="auto"/>
            <w:vAlign w:val="center"/>
          </w:tcPr>
          <w:p w14:paraId="7A3008F2">
            <w:pPr>
              <w:keepNext w:val="0"/>
              <w:keepLines w:val="0"/>
              <w:suppressLineNumbers w:val="0"/>
              <w:spacing w:before="0" w:beforeAutospacing="0" w:after="0" w:afterAutospacing="0"/>
              <w:ind w:left="0" w:right="0"/>
              <w:rPr>
                <w:rFonts w:hint="default" w:ascii="Times New Roman" w:hAnsi="Times New Roman" w:cs="Times New Roman"/>
                <w:sz w:val="21"/>
                <w:szCs w:val="21"/>
              </w:rPr>
            </w:pPr>
          </w:p>
        </w:tc>
        <w:tc>
          <w:tcPr>
            <w:tcW w:w="244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26A692F">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投标有效期</w:t>
            </w:r>
          </w:p>
        </w:tc>
        <w:tc>
          <w:tcPr>
            <w:tcW w:w="447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A10BB55">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从投标截止之日起90日历天</w:t>
            </w:r>
          </w:p>
        </w:tc>
      </w:tr>
      <w:tr w14:paraId="5B59D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CellMar>
            <w:top w:w="0" w:type="dxa"/>
            <w:left w:w="0" w:type="dxa"/>
            <w:bottom w:w="0" w:type="dxa"/>
            <w:right w:w="0" w:type="dxa"/>
          </w:tblCellMar>
        </w:tblPrEx>
        <w:trPr>
          <w:trHeight w:val="657" w:hRule="atLeast"/>
          <w:jc w:val="center"/>
        </w:trPr>
        <w:tc>
          <w:tcPr>
            <w:tcW w:w="872" w:type="dxa"/>
            <w:vMerge w:val="continue"/>
            <w:tcBorders>
              <w:top w:val="nil"/>
              <w:left w:val="single" w:color="000000" w:sz="6" w:space="0"/>
              <w:bottom w:val="single" w:color="000000" w:sz="6" w:space="0"/>
              <w:right w:val="single" w:color="000000" w:sz="6" w:space="0"/>
            </w:tcBorders>
            <w:shd w:val="clear" w:color="auto" w:fill="auto"/>
            <w:vAlign w:val="center"/>
          </w:tcPr>
          <w:p w14:paraId="23A04148">
            <w:pPr>
              <w:keepNext w:val="0"/>
              <w:keepLines w:val="0"/>
              <w:suppressLineNumbers w:val="0"/>
              <w:spacing w:before="0" w:beforeAutospacing="0" w:after="0" w:afterAutospacing="0"/>
              <w:ind w:left="0" w:right="0"/>
              <w:rPr>
                <w:rFonts w:hint="default" w:ascii="Times New Roman" w:hAnsi="Times New Roman" w:cs="Times New Roman"/>
                <w:sz w:val="21"/>
                <w:szCs w:val="21"/>
              </w:rPr>
            </w:pPr>
          </w:p>
        </w:tc>
        <w:tc>
          <w:tcPr>
            <w:tcW w:w="1306" w:type="dxa"/>
            <w:vMerge w:val="continue"/>
            <w:tcBorders>
              <w:top w:val="nil"/>
              <w:left w:val="single" w:color="000000" w:sz="6" w:space="0"/>
              <w:bottom w:val="single" w:color="000000" w:sz="6" w:space="0"/>
              <w:right w:val="single" w:color="000000" w:sz="6" w:space="0"/>
            </w:tcBorders>
            <w:shd w:val="clear" w:color="auto" w:fill="auto"/>
            <w:vAlign w:val="center"/>
          </w:tcPr>
          <w:p w14:paraId="1A2E0EE7">
            <w:pPr>
              <w:keepNext w:val="0"/>
              <w:keepLines w:val="0"/>
              <w:suppressLineNumbers w:val="0"/>
              <w:spacing w:before="0" w:beforeAutospacing="0" w:after="0" w:afterAutospacing="0"/>
              <w:ind w:left="0" w:right="0"/>
              <w:rPr>
                <w:rFonts w:hint="default" w:ascii="Times New Roman" w:hAnsi="Times New Roman" w:cs="Times New Roman"/>
                <w:sz w:val="21"/>
                <w:szCs w:val="21"/>
              </w:rPr>
            </w:pPr>
          </w:p>
        </w:tc>
        <w:tc>
          <w:tcPr>
            <w:tcW w:w="244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B4BADC2">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质量要求及质保期</w:t>
            </w:r>
          </w:p>
          <w:p w14:paraId="4448BF4B">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（售后服务期）</w:t>
            </w:r>
          </w:p>
        </w:tc>
        <w:tc>
          <w:tcPr>
            <w:tcW w:w="447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1235EF7">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符合</w:t>
            </w:r>
            <w:r>
              <w:rPr>
                <w:rFonts w:hint="eastAsia" w:ascii="宋体" w:hAnsi="宋体" w:cs="宋体"/>
                <w:i w:val="0"/>
                <w:iCs w:val="0"/>
                <w:color w:val="000000"/>
                <w:kern w:val="0"/>
                <w:sz w:val="21"/>
                <w:szCs w:val="21"/>
                <w:lang w:val="en-US" w:eastAsia="zh-CN" w:bidi="ar"/>
              </w:rPr>
              <w:t>遴选文件</w:t>
            </w:r>
            <w:r>
              <w:rPr>
                <w:rFonts w:hint="eastAsia" w:ascii="宋体" w:hAnsi="宋体" w:eastAsia="宋体" w:cs="宋体"/>
                <w:i w:val="0"/>
                <w:iCs w:val="0"/>
                <w:color w:val="000000"/>
                <w:kern w:val="0"/>
                <w:sz w:val="21"/>
                <w:szCs w:val="21"/>
                <w:lang w:val="en-US" w:eastAsia="zh-CN" w:bidi="ar"/>
              </w:rPr>
              <w:t>规定</w:t>
            </w:r>
          </w:p>
        </w:tc>
      </w:tr>
      <w:tr w14:paraId="3BA96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CellMar>
            <w:top w:w="0" w:type="dxa"/>
            <w:left w:w="0" w:type="dxa"/>
            <w:bottom w:w="0" w:type="dxa"/>
            <w:right w:w="0" w:type="dxa"/>
          </w:tblCellMar>
        </w:tblPrEx>
        <w:trPr>
          <w:trHeight w:val="465" w:hRule="atLeast"/>
          <w:jc w:val="center"/>
        </w:trPr>
        <w:tc>
          <w:tcPr>
            <w:tcW w:w="872" w:type="dxa"/>
            <w:vMerge w:val="continue"/>
            <w:tcBorders>
              <w:top w:val="nil"/>
              <w:left w:val="single" w:color="000000" w:sz="6" w:space="0"/>
              <w:bottom w:val="single" w:color="000000" w:sz="6" w:space="0"/>
              <w:right w:val="single" w:color="000000" w:sz="6" w:space="0"/>
            </w:tcBorders>
            <w:shd w:val="clear" w:color="auto" w:fill="auto"/>
            <w:vAlign w:val="center"/>
          </w:tcPr>
          <w:p w14:paraId="0D09BBB1">
            <w:pPr>
              <w:keepNext w:val="0"/>
              <w:keepLines w:val="0"/>
              <w:suppressLineNumbers w:val="0"/>
              <w:spacing w:before="0" w:beforeAutospacing="0" w:after="0" w:afterAutospacing="0"/>
              <w:ind w:left="0" w:right="0"/>
              <w:rPr>
                <w:rFonts w:hint="default" w:ascii="Times New Roman" w:hAnsi="Times New Roman" w:cs="Times New Roman"/>
                <w:sz w:val="21"/>
                <w:szCs w:val="21"/>
              </w:rPr>
            </w:pPr>
          </w:p>
        </w:tc>
        <w:tc>
          <w:tcPr>
            <w:tcW w:w="1306" w:type="dxa"/>
            <w:vMerge w:val="continue"/>
            <w:tcBorders>
              <w:top w:val="nil"/>
              <w:left w:val="single" w:color="000000" w:sz="6" w:space="0"/>
              <w:bottom w:val="single" w:color="000000" w:sz="6" w:space="0"/>
              <w:right w:val="single" w:color="000000" w:sz="6" w:space="0"/>
            </w:tcBorders>
            <w:shd w:val="clear" w:color="auto" w:fill="auto"/>
            <w:vAlign w:val="center"/>
          </w:tcPr>
          <w:p w14:paraId="350AF7D1">
            <w:pPr>
              <w:keepNext w:val="0"/>
              <w:keepLines w:val="0"/>
              <w:suppressLineNumbers w:val="0"/>
              <w:spacing w:before="0" w:beforeAutospacing="0" w:after="0" w:afterAutospacing="0"/>
              <w:ind w:left="0" w:right="0"/>
              <w:rPr>
                <w:rFonts w:hint="default" w:ascii="Times New Roman" w:hAnsi="Times New Roman" w:cs="Times New Roman"/>
                <w:sz w:val="21"/>
                <w:szCs w:val="21"/>
              </w:rPr>
            </w:pPr>
          </w:p>
        </w:tc>
        <w:tc>
          <w:tcPr>
            <w:tcW w:w="244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E37B250">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投标人承诺函</w:t>
            </w:r>
          </w:p>
        </w:tc>
        <w:tc>
          <w:tcPr>
            <w:tcW w:w="447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FF65FEB">
            <w:pPr>
              <w:keepNext w:val="0"/>
              <w:keepLines w:val="0"/>
              <w:widowControl/>
              <w:suppressLineNumbers w:val="0"/>
              <w:autoSpaceDE w:val="0"/>
              <w:autoSpaceDN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符合</w:t>
            </w:r>
            <w:r>
              <w:rPr>
                <w:rFonts w:hint="eastAsia" w:ascii="宋体" w:hAnsi="宋体" w:cs="宋体"/>
                <w:i w:val="0"/>
                <w:iCs w:val="0"/>
                <w:color w:val="000000"/>
                <w:kern w:val="0"/>
                <w:sz w:val="21"/>
                <w:szCs w:val="21"/>
                <w:lang w:val="en-US" w:eastAsia="zh-CN" w:bidi="ar"/>
              </w:rPr>
              <w:t>遴选文件</w:t>
            </w:r>
            <w:r>
              <w:rPr>
                <w:rFonts w:hint="eastAsia" w:ascii="宋体" w:hAnsi="宋体" w:eastAsia="宋体" w:cs="宋体"/>
                <w:i w:val="0"/>
                <w:iCs w:val="0"/>
                <w:color w:val="000000"/>
                <w:kern w:val="0"/>
                <w:sz w:val="21"/>
                <w:szCs w:val="21"/>
                <w:lang w:val="en-US" w:eastAsia="zh-CN" w:bidi="ar"/>
              </w:rPr>
              <w:t>规定</w:t>
            </w:r>
          </w:p>
        </w:tc>
      </w:tr>
    </w:tbl>
    <w:p w14:paraId="5FE9094F">
      <w:pPr>
        <w:keepNext w:val="0"/>
        <w:keepLines w:val="0"/>
        <w:widowControl w:val="0"/>
        <w:suppressLineNumbers w:val="0"/>
        <w:autoSpaceDE w:val="0"/>
        <w:autoSpaceDN w:val="0"/>
        <w:spacing w:before="0" w:beforeAutospacing="0" w:after="0" w:afterAutospacing="0" w:line="360" w:lineRule="auto"/>
        <w:ind w:left="0" w:right="0" w:firstLine="840" w:firstLineChars="400"/>
        <w:jc w:val="left"/>
        <w:outlineLvl w:val="2"/>
        <w:rPr>
          <w:rFonts w:hint="eastAsia" w:ascii="宋体" w:hAnsi="宋体" w:eastAsia="宋体" w:cs="宋体"/>
          <w:b/>
          <w:bCs/>
          <w:kern w:val="2"/>
          <w:sz w:val="21"/>
          <w:szCs w:val="21"/>
        </w:rPr>
      </w:pPr>
      <w:r>
        <w:rPr>
          <w:rFonts w:hint="eastAsia" w:ascii="宋体" w:hAnsi="宋体" w:eastAsia="宋体" w:cs="宋体"/>
          <w:kern w:val="2"/>
          <w:sz w:val="21"/>
          <w:szCs w:val="21"/>
          <w:lang w:val="en-US" w:eastAsia="zh-CN" w:bidi="ar"/>
        </w:rPr>
        <w:t>本项目提供扫描件并加盖公章，投标人应保证投标文件中所有打印、复印、影印、扫描、签章等清晰无误，如投标人原因造成投标文件内容模糊无法辨认的由投标人自行承担责任。</w:t>
      </w:r>
    </w:p>
    <w:p w14:paraId="06E09541">
      <w:pPr>
        <w:keepNext w:val="0"/>
        <w:keepLines w:val="0"/>
        <w:widowControl w:val="0"/>
        <w:suppressLineNumbers w:val="0"/>
        <w:autoSpaceDE w:val="0"/>
        <w:autoSpaceDN w:val="0"/>
        <w:spacing w:before="0" w:beforeAutospacing="0" w:after="0" w:afterAutospacing="0" w:line="360" w:lineRule="auto"/>
        <w:ind w:left="0" w:right="0" w:firstLine="840" w:firstLineChars="400"/>
        <w:jc w:val="left"/>
        <w:outlineLvl w:val="2"/>
        <w:rPr>
          <w:rFonts w:hint="eastAsia" w:ascii="宋体" w:hAnsi="宋体" w:eastAsia="宋体" w:cs="宋体"/>
          <w:kern w:val="2"/>
          <w:sz w:val="21"/>
          <w:szCs w:val="21"/>
        </w:rPr>
      </w:pPr>
      <w:r>
        <w:rPr>
          <w:rFonts w:hint="eastAsia" w:ascii="宋体" w:hAnsi="宋体" w:eastAsia="宋体" w:cs="宋体"/>
          <w:b/>
          <w:bCs/>
          <w:kern w:val="2"/>
          <w:sz w:val="21"/>
          <w:szCs w:val="21"/>
          <w:lang w:val="en-US" w:eastAsia="zh-CN" w:bidi="ar"/>
        </w:rPr>
        <w:t>三、评分细则详细评审</w:t>
      </w:r>
    </w:p>
    <w:p w14:paraId="0FD769F6">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经初步评审合格的投标文件，评标委员会对其作进一步评审、比较，并量化打分。总分为100分</w:t>
      </w:r>
    </w:p>
    <w:p w14:paraId="2F290909">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3.1详细（综合）评审</w:t>
      </w:r>
    </w:p>
    <w:p w14:paraId="73FABF79">
      <w:pPr>
        <w:spacing w:line="360" w:lineRule="auto"/>
        <w:jc w:val="center"/>
        <w:rPr>
          <w:rFonts w:ascii="Times New Roman" w:hAnsi="Times New Roman" w:eastAsia="宋体" w:cs="Times New Roman"/>
          <w:b/>
          <w:bCs/>
          <w:sz w:val="24"/>
          <w:szCs w:val="24"/>
        </w:rPr>
      </w:pPr>
    </w:p>
    <w:p w14:paraId="377D3964">
      <w:pPr>
        <w:spacing w:line="360" w:lineRule="auto"/>
        <w:jc w:val="center"/>
        <w:rPr>
          <w:rFonts w:ascii="Times New Roman" w:hAnsi="Times New Roman" w:eastAsia="宋体" w:cs="Times New Roman"/>
          <w:b/>
          <w:bCs/>
          <w:sz w:val="24"/>
          <w:szCs w:val="24"/>
        </w:rPr>
      </w:pPr>
    </w:p>
    <w:p w14:paraId="5D473393">
      <w:pPr>
        <w:spacing w:line="360" w:lineRule="auto"/>
        <w:jc w:val="center"/>
        <w:rPr>
          <w:rFonts w:ascii="Times New Roman" w:hAnsi="Times New Roman" w:eastAsia="宋体" w:cs="Times New Roman"/>
          <w:b/>
          <w:bCs/>
          <w:sz w:val="24"/>
          <w:szCs w:val="24"/>
        </w:rPr>
      </w:pPr>
    </w:p>
    <w:p w14:paraId="404D297B">
      <w:pPr>
        <w:spacing w:line="360" w:lineRule="auto"/>
        <w:jc w:val="center"/>
        <w:rPr>
          <w:rFonts w:ascii="Times New Roman" w:hAnsi="Times New Roman" w:eastAsia="宋体" w:cs="Times New Roman"/>
          <w:b/>
          <w:bCs/>
          <w:sz w:val="24"/>
          <w:szCs w:val="24"/>
        </w:rPr>
      </w:pPr>
    </w:p>
    <w:p w14:paraId="7D24E54A">
      <w:pPr>
        <w:spacing w:line="360" w:lineRule="auto"/>
        <w:jc w:val="center"/>
        <w:rPr>
          <w:rFonts w:ascii="Times New Roman" w:hAnsi="Times New Roman" w:eastAsia="宋体" w:cs="Times New Roman"/>
          <w:b/>
          <w:bCs/>
          <w:sz w:val="24"/>
          <w:szCs w:val="24"/>
        </w:rPr>
      </w:pPr>
    </w:p>
    <w:p w14:paraId="4A313CEA">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b/>
          <w:bCs/>
          <w:sz w:val="24"/>
          <w:szCs w:val="24"/>
          <w:lang w:val="en-US" w:eastAsia="zh-CN"/>
        </w:rPr>
        <w:t>详细（</w:t>
      </w:r>
      <w:r>
        <w:rPr>
          <w:rFonts w:ascii="Times New Roman" w:hAnsi="Times New Roman" w:eastAsia="宋体" w:cs="Times New Roman"/>
          <w:b/>
          <w:bCs/>
          <w:sz w:val="24"/>
          <w:szCs w:val="24"/>
        </w:rPr>
        <w:t>综合</w:t>
      </w:r>
      <w:r>
        <w:rPr>
          <w:rFonts w:hint="eastAsia" w:ascii="Times New Roman" w:hAnsi="Times New Roman" w:eastAsia="宋体" w:cs="Times New Roman"/>
          <w:b/>
          <w:bCs/>
          <w:sz w:val="24"/>
          <w:szCs w:val="24"/>
          <w:lang w:eastAsia="zh-CN"/>
        </w:rPr>
        <w:t>）</w:t>
      </w:r>
      <w:r>
        <w:rPr>
          <w:rFonts w:ascii="Times New Roman" w:hAnsi="Times New Roman" w:eastAsia="宋体" w:cs="Times New Roman"/>
          <w:b/>
          <w:bCs/>
          <w:sz w:val="24"/>
          <w:szCs w:val="24"/>
        </w:rPr>
        <w:t>评分</w:t>
      </w:r>
      <w:r>
        <w:rPr>
          <w:rFonts w:hint="eastAsia" w:ascii="Times New Roman" w:hAnsi="Times New Roman" w:eastAsia="宋体" w:cs="Times New Roman"/>
          <w:b/>
          <w:bCs/>
          <w:sz w:val="24"/>
          <w:szCs w:val="24"/>
        </w:rPr>
        <w:t>表</w:t>
      </w:r>
    </w:p>
    <w:tbl>
      <w:tblPr>
        <w:tblStyle w:val="19"/>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1125"/>
        <w:gridCol w:w="1045"/>
        <w:gridCol w:w="5519"/>
        <w:gridCol w:w="845"/>
      </w:tblGrid>
      <w:tr w14:paraId="36DFC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25" w:type="dxa"/>
            <w:tcBorders>
              <w:top w:val="single" w:color="auto" w:sz="4" w:space="0"/>
              <w:left w:val="single" w:color="auto" w:sz="4" w:space="0"/>
              <w:bottom w:val="single" w:color="auto" w:sz="4" w:space="0"/>
              <w:right w:val="single" w:color="auto" w:sz="4" w:space="0"/>
            </w:tcBorders>
            <w:noWrap w:val="0"/>
            <w:vAlign w:val="center"/>
          </w:tcPr>
          <w:p w14:paraId="4A881C51">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s="Times New Roman"/>
                <w:b/>
              </w:rPr>
            </w:pPr>
            <w:r>
              <w:rPr>
                <w:rFonts w:hint="default" w:ascii="宋体" w:hAnsi="宋体" w:eastAsia="宋体" w:cs="Times New Roman"/>
                <w:b/>
              </w:rPr>
              <w:t>类别</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721A3E2A">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s="Times New Roman"/>
                <w:b/>
                <w:lang w:val="en-US" w:eastAsia="zh-CN"/>
              </w:rPr>
            </w:pPr>
            <w:r>
              <w:rPr>
                <w:rFonts w:hint="eastAsia" w:ascii="宋体" w:hAnsi="宋体" w:cs="Times New Roman"/>
                <w:b/>
                <w:lang w:val="en-US" w:eastAsia="zh-CN"/>
              </w:rPr>
              <w:t>评分项</w:t>
            </w:r>
          </w:p>
        </w:tc>
        <w:tc>
          <w:tcPr>
            <w:tcW w:w="1045" w:type="dxa"/>
            <w:tcBorders>
              <w:top w:val="single" w:color="auto" w:sz="4" w:space="0"/>
              <w:left w:val="single" w:color="auto" w:sz="4" w:space="0"/>
              <w:bottom w:val="single" w:color="auto" w:sz="4" w:space="0"/>
              <w:right w:val="single" w:color="auto" w:sz="4" w:space="0"/>
            </w:tcBorders>
            <w:noWrap w:val="0"/>
            <w:vAlign w:val="center"/>
          </w:tcPr>
          <w:p w14:paraId="38BB832A">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s="Times New Roman"/>
                <w:b/>
              </w:rPr>
            </w:pPr>
            <w:r>
              <w:rPr>
                <w:rFonts w:hint="default" w:ascii="宋体" w:hAnsi="宋体" w:eastAsia="宋体" w:cs="Times New Roman"/>
                <w:b/>
              </w:rPr>
              <w:t>评分</w:t>
            </w:r>
          </w:p>
          <w:p w14:paraId="56548412">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s="Times New Roman"/>
                <w:b/>
              </w:rPr>
            </w:pPr>
            <w:r>
              <w:rPr>
                <w:rFonts w:hint="default" w:ascii="宋体" w:hAnsi="宋体" w:eastAsia="宋体" w:cs="Times New Roman"/>
                <w:b/>
              </w:rPr>
              <w:t>内容</w:t>
            </w:r>
          </w:p>
        </w:tc>
        <w:tc>
          <w:tcPr>
            <w:tcW w:w="5519" w:type="dxa"/>
            <w:tcBorders>
              <w:top w:val="single" w:color="auto" w:sz="4" w:space="0"/>
              <w:left w:val="single" w:color="auto" w:sz="4" w:space="0"/>
              <w:bottom w:val="single" w:color="auto" w:sz="4" w:space="0"/>
              <w:right w:val="single" w:color="auto" w:sz="4" w:space="0"/>
            </w:tcBorders>
            <w:noWrap w:val="0"/>
            <w:vAlign w:val="center"/>
          </w:tcPr>
          <w:p w14:paraId="0CBC0174">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s="Times New Roman"/>
                <w:b/>
              </w:rPr>
            </w:pPr>
            <w:r>
              <w:rPr>
                <w:rFonts w:hint="default" w:ascii="宋体" w:hAnsi="宋体" w:eastAsia="宋体" w:cs="Times New Roman"/>
                <w:b/>
              </w:rPr>
              <w:t>评分标准</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337D48B9">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s="Times New Roman"/>
                <w:b/>
              </w:rPr>
            </w:pPr>
            <w:r>
              <w:rPr>
                <w:rFonts w:hint="default" w:ascii="宋体" w:hAnsi="宋体" w:eastAsia="宋体" w:cs="Times New Roman"/>
                <w:b/>
              </w:rPr>
              <w:t>分值</w:t>
            </w:r>
          </w:p>
          <w:p w14:paraId="1073B62F">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s="Times New Roman"/>
                <w:b/>
              </w:rPr>
            </w:pPr>
            <w:r>
              <w:rPr>
                <w:rFonts w:hint="default" w:ascii="宋体" w:hAnsi="宋体" w:eastAsia="宋体" w:cs="Times New Roman"/>
                <w:b/>
              </w:rPr>
              <w:t>范围</w:t>
            </w:r>
          </w:p>
        </w:tc>
      </w:tr>
      <w:tr w14:paraId="1E98D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jc w:val="center"/>
        </w:trPr>
        <w:tc>
          <w:tcPr>
            <w:tcW w:w="1025" w:type="dxa"/>
            <w:vMerge w:val="restart"/>
            <w:tcBorders>
              <w:top w:val="single" w:color="auto" w:sz="4" w:space="0"/>
              <w:left w:val="single" w:color="auto" w:sz="4" w:space="0"/>
              <w:bottom w:val="single" w:color="auto" w:sz="4" w:space="0"/>
              <w:right w:val="single" w:color="auto" w:sz="4" w:space="0"/>
            </w:tcBorders>
            <w:noWrap w:val="0"/>
            <w:vAlign w:val="center"/>
          </w:tcPr>
          <w:p w14:paraId="373A89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b/>
                <w:sz w:val="18"/>
                <w:szCs w:val="18"/>
              </w:rPr>
            </w:pPr>
            <w:r>
              <w:rPr>
                <w:rFonts w:hint="eastAsia" w:ascii="宋体" w:hAnsi="宋体" w:eastAsia="宋体" w:cs="Times New Roman"/>
                <w:sz w:val="18"/>
                <w:szCs w:val="18"/>
              </w:rPr>
              <w:t>技术资信（</w:t>
            </w:r>
            <w:r>
              <w:rPr>
                <w:rFonts w:hint="eastAsia" w:ascii="宋体" w:hAnsi="宋体" w:eastAsia="宋体" w:cs="Times New Roman"/>
                <w:sz w:val="18"/>
                <w:szCs w:val="18"/>
                <w:lang w:val="en-US" w:eastAsia="zh-CN"/>
              </w:rPr>
              <w:t>80</w:t>
            </w:r>
            <w:r>
              <w:rPr>
                <w:rFonts w:hint="eastAsia" w:ascii="宋体" w:hAnsi="宋体" w:eastAsia="宋体" w:cs="Times New Roman"/>
                <w:sz w:val="18"/>
                <w:szCs w:val="18"/>
              </w:rPr>
              <w:t>分）</w:t>
            </w:r>
          </w:p>
        </w:tc>
        <w:tc>
          <w:tcPr>
            <w:tcW w:w="1125" w:type="dxa"/>
            <w:vMerge w:val="restart"/>
            <w:tcBorders>
              <w:top w:val="single" w:color="auto" w:sz="4" w:space="0"/>
              <w:left w:val="single" w:color="auto" w:sz="4" w:space="0"/>
              <w:right w:val="single" w:color="auto" w:sz="4" w:space="0"/>
            </w:tcBorders>
            <w:noWrap w:val="0"/>
            <w:vAlign w:val="center"/>
          </w:tcPr>
          <w:p w14:paraId="7F23325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企业资质</w:t>
            </w:r>
          </w:p>
        </w:tc>
        <w:tc>
          <w:tcPr>
            <w:tcW w:w="1045" w:type="dxa"/>
            <w:tcBorders>
              <w:top w:val="single" w:color="auto" w:sz="4" w:space="0"/>
              <w:left w:val="single" w:color="auto" w:sz="4" w:space="0"/>
              <w:bottom w:val="single" w:color="auto" w:sz="4" w:space="0"/>
              <w:right w:val="single" w:color="auto" w:sz="4" w:space="0"/>
            </w:tcBorders>
            <w:noWrap w:val="0"/>
            <w:vAlign w:val="center"/>
          </w:tcPr>
          <w:p w14:paraId="1AD6EE0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三体系认证</w:t>
            </w:r>
          </w:p>
        </w:tc>
        <w:tc>
          <w:tcPr>
            <w:tcW w:w="5519" w:type="dxa"/>
            <w:tcBorders>
              <w:top w:val="single" w:color="auto" w:sz="4" w:space="0"/>
              <w:left w:val="single" w:color="auto" w:sz="4" w:space="0"/>
              <w:bottom w:val="single" w:color="auto" w:sz="4" w:space="0"/>
              <w:right w:val="single" w:color="auto" w:sz="4" w:space="0"/>
            </w:tcBorders>
            <w:noWrap w:val="0"/>
            <w:vAlign w:val="center"/>
          </w:tcPr>
          <w:p w14:paraId="23ABD36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Times New Roman"/>
                <w:sz w:val="18"/>
                <w:szCs w:val="18"/>
              </w:rPr>
            </w:pPr>
            <w:r>
              <w:rPr>
                <w:rFonts w:hint="eastAsia" w:ascii="宋体" w:hAnsi="宋体" w:eastAsia="宋体" w:cs="Times New Roman"/>
                <w:sz w:val="18"/>
                <w:szCs w:val="18"/>
              </w:rPr>
              <w:t>供应商具备有效期内的 ISO9001 质量管理体系认证、ISO14001 环境管理体系认证、ISO45001 职业健康安全管理体系认证（QHSE 三体系），得 6 分；缺一项不得分。</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73CFE3A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b/>
                <w:sz w:val="18"/>
                <w:szCs w:val="18"/>
              </w:rPr>
            </w:pPr>
            <w:r>
              <w:rPr>
                <w:rFonts w:hint="eastAsia" w:ascii="宋体" w:hAnsi="宋体" w:eastAsia="宋体" w:cs="Times New Roman"/>
                <w:b/>
                <w:sz w:val="18"/>
                <w:szCs w:val="18"/>
                <w:lang w:val="en-US" w:eastAsia="zh-CN"/>
              </w:rPr>
              <w:t>6</w:t>
            </w:r>
            <w:r>
              <w:rPr>
                <w:rFonts w:hint="eastAsia" w:ascii="宋体" w:hAnsi="宋体" w:eastAsia="宋体" w:cs="Times New Roman"/>
                <w:b/>
                <w:sz w:val="18"/>
                <w:szCs w:val="18"/>
              </w:rPr>
              <w:t>分</w:t>
            </w:r>
          </w:p>
        </w:tc>
      </w:tr>
      <w:tr w14:paraId="433F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jc w:val="center"/>
        </w:trPr>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14:paraId="0FE5B53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435"/>
              <w:jc w:val="center"/>
              <w:textAlignment w:val="auto"/>
              <w:rPr>
                <w:rFonts w:hint="eastAsia" w:ascii="宋体" w:hAnsi="宋体" w:eastAsia="宋体" w:cs="Times New Roman"/>
                <w:b/>
                <w:sz w:val="18"/>
                <w:szCs w:val="18"/>
              </w:rPr>
            </w:pPr>
          </w:p>
        </w:tc>
        <w:tc>
          <w:tcPr>
            <w:tcW w:w="1125" w:type="dxa"/>
            <w:vMerge w:val="continue"/>
            <w:tcBorders>
              <w:left w:val="single" w:color="auto" w:sz="4" w:space="0"/>
              <w:right w:val="single" w:color="auto" w:sz="4" w:space="0"/>
            </w:tcBorders>
            <w:noWrap w:val="0"/>
            <w:vAlign w:val="center"/>
          </w:tcPr>
          <w:p w14:paraId="187902C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p>
        </w:tc>
        <w:tc>
          <w:tcPr>
            <w:tcW w:w="1045" w:type="dxa"/>
            <w:tcBorders>
              <w:top w:val="single" w:color="auto" w:sz="4" w:space="0"/>
              <w:left w:val="single" w:color="auto" w:sz="4" w:space="0"/>
              <w:bottom w:val="single" w:color="auto" w:sz="4" w:space="0"/>
              <w:right w:val="single" w:color="auto" w:sz="4" w:space="0"/>
            </w:tcBorders>
            <w:noWrap w:val="0"/>
            <w:vAlign w:val="center"/>
          </w:tcPr>
          <w:p w14:paraId="09D5F39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厂家授权与售后服务认证</w:t>
            </w:r>
          </w:p>
        </w:tc>
        <w:tc>
          <w:tcPr>
            <w:tcW w:w="5519" w:type="dxa"/>
            <w:tcBorders>
              <w:top w:val="single" w:color="auto" w:sz="4" w:space="0"/>
              <w:left w:val="single" w:color="auto" w:sz="4" w:space="0"/>
              <w:bottom w:val="single" w:color="auto" w:sz="4" w:space="0"/>
              <w:right w:val="single" w:color="auto" w:sz="4" w:space="0"/>
            </w:tcBorders>
            <w:noWrap w:val="0"/>
            <w:vAlign w:val="center"/>
          </w:tcPr>
          <w:p w14:paraId="5F44D5D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Times New Roman"/>
                <w:sz w:val="18"/>
                <w:szCs w:val="18"/>
              </w:rPr>
            </w:pPr>
            <w:r>
              <w:rPr>
                <w:rFonts w:hint="eastAsia" w:ascii="宋体" w:hAnsi="宋体" w:eastAsia="宋体" w:cs="Times New Roman"/>
                <w:sz w:val="18"/>
                <w:szCs w:val="18"/>
              </w:rPr>
              <w:t>供应商拥有华为、特来电、星星充电、英飞源等主流充电桩厂家颁发的售后服务授权 / 认证证书，每提供 1 个得 6 分，最高 6 分；无相关认证不得分。</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7CC6019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b/>
                <w:sz w:val="18"/>
                <w:szCs w:val="18"/>
                <w:lang w:val="en-US" w:eastAsia="zh-CN"/>
              </w:rPr>
            </w:pPr>
            <w:r>
              <w:rPr>
                <w:rFonts w:hint="eastAsia" w:ascii="宋体" w:hAnsi="宋体" w:eastAsia="宋体" w:cs="Times New Roman"/>
                <w:b/>
                <w:sz w:val="18"/>
                <w:szCs w:val="18"/>
                <w:lang w:val="en-US" w:eastAsia="zh-CN"/>
              </w:rPr>
              <w:t>6分</w:t>
            </w:r>
          </w:p>
        </w:tc>
      </w:tr>
      <w:tr w14:paraId="39AF7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14:paraId="7379B62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435"/>
              <w:jc w:val="center"/>
              <w:textAlignment w:val="auto"/>
              <w:rPr>
                <w:rFonts w:hint="eastAsia" w:ascii="宋体" w:hAnsi="宋体" w:eastAsia="宋体" w:cs="Times New Roman"/>
                <w:b/>
                <w:sz w:val="18"/>
                <w:szCs w:val="18"/>
              </w:rPr>
            </w:pPr>
          </w:p>
        </w:tc>
        <w:tc>
          <w:tcPr>
            <w:tcW w:w="1125" w:type="dxa"/>
            <w:vMerge w:val="continue"/>
            <w:tcBorders>
              <w:left w:val="single" w:color="auto" w:sz="4" w:space="0"/>
              <w:bottom w:val="single" w:color="auto" w:sz="4" w:space="0"/>
              <w:right w:val="single" w:color="auto" w:sz="4" w:space="0"/>
            </w:tcBorders>
            <w:noWrap w:val="0"/>
            <w:vAlign w:val="center"/>
          </w:tcPr>
          <w:p w14:paraId="2C8243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p>
        </w:tc>
        <w:tc>
          <w:tcPr>
            <w:tcW w:w="1045" w:type="dxa"/>
            <w:tcBorders>
              <w:top w:val="single" w:color="auto" w:sz="4" w:space="0"/>
              <w:left w:val="single" w:color="auto" w:sz="4" w:space="0"/>
              <w:bottom w:val="single" w:color="auto" w:sz="4" w:space="0"/>
              <w:right w:val="single" w:color="auto" w:sz="4" w:space="0"/>
            </w:tcBorders>
            <w:noWrap w:val="0"/>
            <w:vAlign w:val="center"/>
          </w:tcPr>
          <w:p w14:paraId="1D3FC72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软件著作权</w:t>
            </w:r>
          </w:p>
        </w:tc>
        <w:tc>
          <w:tcPr>
            <w:tcW w:w="5519" w:type="dxa"/>
            <w:tcBorders>
              <w:top w:val="single" w:color="auto" w:sz="4" w:space="0"/>
              <w:left w:val="single" w:color="auto" w:sz="4" w:space="0"/>
              <w:bottom w:val="single" w:color="auto" w:sz="4" w:space="0"/>
              <w:right w:val="single" w:color="auto" w:sz="4" w:space="0"/>
            </w:tcBorders>
            <w:noWrap w:val="0"/>
            <w:vAlign w:val="center"/>
          </w:tcPr>
          <w:p w14:paraId="5F4148E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Times New Roman"/>
                <w:b/>
                <w:sz w:val="18"/>
                <w:szCs w:val="18"/>
              </w:rPr>
            </w:pPr>
            <w:r>
              <w:rPr>
                <w:rFonts w:hint="eastAsia" w:ascii="宋体" w:hAnsi="宋体" w:eastAsia="宋体" w:cs="Times New Roman"/>
                <w:sz w:val="18"/>
                <w:szCs w:val="18"/>
              </w:rPr>
              <w:t>供应商每拥有 1 个新能源充电桩运维、维修及售后相关软件著作权得 2 分，最高 6 分；无相关软著不得分。</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132F6A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b/>
                <w:sz w:val="18"/>
                <w:szCs w:val="18"/>
              </w:rPr>
            </w:pPr>
            <w:r>
              <w:rPr>
                <w:rFonts w:hint="eastAsia" w:ascii="宋体" w:hAnsi="宋体" w:eastAsia="宋体" w:cs="Times New Roman"/>
                <w:b/>
                <w:sz w:val="18"/>
                <w:szCs w:val="18"/>
                <w:lang w:val="en-US" w:eastAsia="zh-CN"/>
              </w:rPr>
              <w:t>6</w:t>
            </w:r>
            <w:r>
              <w:rPr>
                <w:rFonts w:hint="eastAsia" w:ascii="宋体" w:hAnsi="宋体" w:eastAsia="宋体" w:cs="Times New Roman"/>
                <w:b/>
                <w:sz w:val="18"/>
                <w:szCs w:val="18"/>
              </w:rPr>
              <w:t>分</w:t>
            </w:r>
          </w:p>
        </w:tc>
      </w:tr>
      <w:tr w14:paraId="05354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14:paraId="606F02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435"/>
              <w:jc w:val="center"/>
              <w:textAlignment w:val="auto"/>
              <w:rPr>
                <w:rFonts w:hint="eastAsia" w:ascii="宋体" w:hAnsi="宋体" w:eastAsia="宋体" w:cs="Times New Roman"/>
                <w:b/>
                <w:sz w:val="18"/>
                <w:szCs w:val="18"/>
              </w:rPr>
            </w:pPr>
          </w:p>
        </w:tc>
        <w:tc>
          <w:tcPr>
            <w:tcW w:w="1125" w:type="dxa"/>
            <w:vMerge w:val="restart"/>
            <w:tcBorders>
              <w:top w:val="single" w:color="auto" w:sz="4" w:space="0"/>
              <w:left w:val="single" w:color="auto" w:sz="4" w:space="0"/>
              <w:right w:val="single" w:color="auto" w:sz="4" w:space="0"/>
            </w:tcBorders>
            <w:noWrap w:val="0"/>
            <w:vAlign w:val="center"/>
          </w:tcPr>
          <w:p w14:paraId="7D23A0D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人员资质</w:t>
            </w:r>
          </w:p>
        </w:tc>
        <w:tc>
          <w:tcPr>
            <w:tcW w:w="1045" w:type="dxa"/>
            <w:tcBorders>
              <w:top w:val="single" w:color="auto" w:sz="4" w:space="0"/>
              <w:left w:val="single" w:color="auto" w:sz="4" w:space="0"/>
              <w:bottom w:val="single" w:color="auto" w:sz="4" w:space="0"/>
              <w:right w:val="single" w:color="auto" w:sz="4" w:space="0"/>
            </w:tcBorders>
            <w:noWrap w:val="0"/>
            <w:vAlign w:val="center"/>
          </w:tcPr>
          <w:p w14:paraId="37EA8A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高低压电工作业人员配置</w:t>
            </w:r>
          </w:p>
        </w:tc>
        <w:tc>
          <w:tcPr>
            <w:tcW w:w="5519" w:type="dxa"/>
            <w:tcBorders>
              <w:top w:val="single" w:color="auto" w:sz="4" w:space="0"/>
              <w:left w:val="single" w:color="auto" w:sz="4" w:space="0"/>
              <w:bottom w:val="single" w:color="auto" w:sz="4" w:space="0"/>
              <w:right w:val="single" w:color="auto" w:sz="4" w:space="0"/>
            </w:tcBorders>
            <w:noWrap w:val="0"/>
            <w:vAlign w:val="center"/>
          </w:tcPr>
          <w:p w14:paraId="6BF964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Times New Roman"/>
                <w:color w:val="auto"/>
                <w:sz w:val="18"/>
                <w:szCs w:val="18"/>
              </w:rPr>
            </w:pPr>
            <w:r>
              <w:rPr>
                <w:rFonts w:hint="eastAsia" w:ascii="宋体" w:hAnsi="宋体" w:eastAsia="宋体" w:cs="Times New Roman"/>
                <w:color w:val="auto"/>
                <w:sz w:val="18"/>
                <w:szCs w:val="18"/>
              </w:rPr>
              <w:t>供应商拟投入本项目的团队人员中至少 3 人持有应急管理厅颁发的高低压电工作业特种作业操作证，每提供 1 人得 2 分，其中至少 1 人具有高压电工证，最高得 6 分；人员须提供近 3 个月在本单位的社保证明及证书复印件。</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0403D9E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Times New Roman"/>
                <w:b/>
                <w:sz w:val="18"/>
                <w:szCs w:val="18"/>
                <w:lang w:val="en-US" w:eastAsia="zh-CN"/>
              </w:rPr>
            </w:pPr>
            <w:r>
              <w:rPr>
                <w:rFonts w:hint="eastAsia" w:ascii="宋体" w:hAnsi="宋体" w:eastAsia="宋体" w:cs="Times New Roman"/>
                <w:b/>
                <w:sz w:val="18"/>
                <w:szCs w:val="18"/>
                <w:lang w:val="en-US" w:eastAsia="zh-CN"/>
              </w:rPr>
              <w:t>6分</w:t>
            </w:r>
          </w:p>
        </w:tc>
      </w:tr>
      <w:tr w14:paraId="2649E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14:paraId="465F6F0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435"/>
              <w:jc w:val="center"/>
              <w:textAlignment w:val="auto"/>
              <w:rPr>
                <w:rFonts w:hint="eastAsia" w:ascii="宋体" w:hAnsi="宋体" w:eastAsia="宋体" w:cs="Times New Roman"/>
                <w:b/>
                <w:sz w:val="18"/>
                <w:szCs w:val="18"/>
              </w:rPr>
            </w:pPr>
          </w:p>
        </w:tc>
        <w:tc>
          <w:tcPr>
            <w:tcW w:w="1125" w:type="dxa"/>
            <w:vMerge w:val="continue"/>
            <w:tcBorders>
              <w:left w:val="single" w:color="auto" w:sz="4" w:space="0"/>
              <w:bottom w:val="single" w:color="auto" w:sz="4" w:space="0"/>
              <w:right w:val="single" w:color="auto" w:sz="4" w:space="0"/>
            </w:tcBorders>
            <w:noWrap w:val="0"/>
            <w:vAlign w:val="center"/>
          </w:tcPr>
          <w:p w14:paraId="2FD3CBE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p>
        </w:tc>
        <w:tc>
          <w:tcPr>
            <w:tcW w:w="1045" w:type="dxa"/>
            <w:tcBorders>
              <w:top w:val="single" w:color="auto" w:sz="4" w:space="0"/>
              <w:left w:val="single" w:color="auto" w:sz="4" w:space="0"/>
              <w:bottom w:val="single" w:color="auto" w:sz="4" w:space="0"/>
              <w:right w:val="single" w:color="auto" w:sz="4" w:space="0"/>
            </w:tcBorders>
            <w:noWrap w:val="0"/>
            <w:vAlign w:val="center"/>
          </w:tcPr>
          <w:p w14:paraId="7DA8D0E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厂家运维资格认证</w:t>
            </w:r>
          </w:p>
        </w:tc>
        <w:tc>
          <w:tcPr>
            <w:tcW w:w="5519" w:type="dxa"/>
            <w:tcBorders>
              <w:top w:val="single" w:color="auto" w:sz="4" w:space="0"/>
              <w:left w:val="single" w:color="auto" w:sz="4" w:space="0"/>
              <w:bottom w:val="single" w:color="auto" w:sz="4" w:space="0"/>
              <w:right w:val="single" w:color="auto" w:sz="4" w:space="0"/>
            </w:tcBorders>
            <w:noWrap w:val="0"/>
            <w:vAlign w:val="center"/>
          </w:tcPr>
          <w:p w14:paraId="018929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Times New Roman"/>
                <w:color w:val="auto"/>
                <w:sz w:val="18"/>
                <w:szCs w:val="18"/>
              </w:rPr>
            </w:pPr>
            <w:r>
              <w:rPr>
                <w:rFonts w:hint="eastAsia" w:ascii="宋体" w:hAnsi="宋体" w:eastAsia="宋体" w:cs="Times New Roman"/>
                <w:color w:val="auto"/>
                <w:sz w:val="18"/>
                <w:szCs w:val="18"/>
              </w:rPr>
              <w:t>供应商拟投入本项目的团队人员中，持有华为、英飞源、特来电、星星充电等主流充电桩厂家颁发的运维技术资格认证证书的，每提供 1 人得 2 分，最高 6 分；无相关证书的不得分；人员须提供近 3 个月在本单位的社保证明及证书复印件。</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5C9A707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Times New Roman"/>
                <w:b/>
                <w:sz w:val="18"/>
                <w:szCs w:val="18"/>
                <w:lang w:val="en-US" w:eastAsia="zh-CN"/>
              </w:rPr>
            </w:pPr>
            <w:r>
              <w:rPr>
                <w:rFonts w:hint="eastAsia" w:ascii="宋体" w:hAnsi="宋体" w:eastAsia="宋体" w:cs="Times New Roman"/>
                <w:b/>
                <w:sz w:val="18"/>
                <w:szCs w:val="18"/>
                <w:lang w:val="en-US" w:eastAsia="zh-CN"/>
              </w:rPr>
              <w:t>6分</w:t>
            </w:r>
          </w:p>
        </w:tc>
      </w:tr>
      <w:tr w14:paraId="1607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14:paraId="1DC440E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435"/>
              <w:jc w:val="center"/>
              <w:textAlignment w:val="auto"/>
              <w:rPr>
                <w:rFonts w:hint="eastAsia" w:ascii="宋体" w:hAnsi="宋体" w:eastAsia="宋体" w:cs="Times New Roman"/>
                <w:b/>
                <w:sz w:val="18"/>
                <w:szCs w:val="18"/>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0A833A9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业绩案例</w:t>
            </w:r>
          </w:p>
        </w:tc>
        <w:tc>
          <w:tcPr>
            <w:tcW w:w="1045" w:type="dxa"/>
            <w:tcBorders>
              <w:top w:val="single" w:color="auto" w:sz="4" w:space="0"/>
              <w:left w:val="single" w:color="auto" w:sz="4" w:space="0"/>
              <w:bottom w:val="single" w:color="auto" w:sz="4" w:space="0"/>
              <w:right w:val="single" w:color="auto" w:sz="4" w:space="0"/>
            </w:tcBorders>
            <w:noWrap w:val="0"/>
            <w:vAlign w:val="center"/>
          </w:tcPr>
          <w:p w14:paraId="22FAAFF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lang w:eastAsia="zh-CN"/>
              </w:rPr>
            </w:pPr>
            <w:r>
              <w:rPr>
                <w:rFonts w:hint="eastAsia" w:ascii="宋体" w:hAnsi="宋体" w:eastAsia="宋体" w:cs="Times New Roman"/>
                <w:sz w:val="18"/>
                <w:szCs w:val="18"/>
                <w:lang w:val="en-US" w:eastAsia="zh-CN"/>
              </w:rPr>
              <w:t>新能源充电桩运维维修业绩</w:t>
            </w:r>
          </w:p>
        </w:tc>
        <w:tc>
          <w:tcPr>
            <w:tcW w:w="5519" w:type="dxa"/>
            <w:tcBorders>
              <w:top w:val="single" w:color="auto" w:sz="4" w:space="0"/>
              <w:left w:val="single" w:color="auto" w:sz="4" w:space="0"/>
              <w:bottom w:val="single" w:color="auto" w:sz="4" w:space="0"/>
              <w:right w:val="single" w:color="auto" w:sz="4" w:space="0"/>
            </w:tcBorders>
            <w:noWrap w:val="0"/>
            <w:vAlign w:val="center"/>
          </w:tcPr>
          <w:p w14:paraId="559D39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Times New Roman"/>
                <w:color w:val="auto"/>
                <w:sz w:val="18"/>
                <w:szCs w:val="18"/>
              </w:rPr>
            </w:pPr>
            <w:r>
              <w:rPr>
                <w:rFonts w:hint="eastAsia" w:ascii="宋体" w:hAnsi="宋体" w:eastAsia="宋体" w:cs="Times New Roman"/>
                <w:color w:val="auto"/>
                <w:sz w:val="18"/>
                <w:szCs w:val="18"/>
              </w:rPr>
              <w:t xml:space="preserve">具有单项合同额 </w:t>
            </w:r>
            <w:r>
              <w:rPr>
                <w:rFonts w:hint="eastAsia" w:ascii="宋体" w:hAnsi="宋体" w:cs="Times New Roman"/>
                <w:color w:val="auto"/>
                <w:sz w:val="18"/>
                <w:szCs w:val="18"/>
                <w:lang w:val="en-US" w:eastAsia="zh-CN"/>
              </w:rPr>
              <w:t>5</w:t>
            </w:r>
            <w:r>
              <w:rPr>
                <w:rFonts w:hint="eastAsia" w:ascii="宋体" w:hAnsi="宋体" w:eastAsia="宋体" w:cs="Times New Roman"/>
                <w:color w:val="auto"/>
                <w:sz w:val="18"/>
                <w:szCs w:val="18"/>
              </w:rPr>
              <w:t xml:space="preserve"> 万元及以上的新能源充电桩运维或维修项目业绩，每提供 1 个得 10 分，最高 20 分；须提供合同关键页及甲方盖章验收单复印件，否则不得分。</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2C6D9A3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Times New Roman"/>
                <w:b/>
                <w:sz w:val="18"/>
                <w:szCs w:val="18"/>
                <w:lang w:val="en-US" w:eastAsia="zh-CN"/>
              </w:rPr>
            </w:pPr>
            <w:r>
              <w:rPr>
                <w:rFonts w:hint="eastAsia" w:ascii="宋体" w:hAnsi="宋体" w:eastAsia="宋体" w:cs="Times New Roman"/>
                <w:b/>
                <w:sz w:val="18"/>
                <w:szCs w:val="18"/>
                <w:lang w:val="en-US" w:eastAsia="zh-CN"/>
              </w:rPr>
              <w:t>20分</w:t>
            </w:r>
          </w:p>
        </w:tc>
      </w:tr>
      <w:tr w14:paraId="51617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14:paraId="4DE22C9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435"/>
              <w:jc w:val="center"/>
              <w:textAlignment w:val="auto"/>
              <w:rPr>
                <w:rFonts w:hint="eastAsia" w:ascii="宋体" w:hAnsi="宋体" w:eastAsia="宋体" w:cs="Times New Roman"/>
                <w:b/>
                <w:sz w:val="18"/>
                <w:szCs w:val="18"/>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4A54E18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维修方案</w:t>
            </w:r>
          </w:p>
        </w:tc>
        <w:tc>
          <w:tcPr>
            <w:tcW w:w="1045" w:type="dxa"/>
            <w:tcBorders>
              <w:top w:val="single" w:color="auto" w:sz="4" w:space="0"/>
              <w:left w:val="single" w:color="auto" w:sz="4" w:space="0"/>
              <w:bottom w:val="single" w:color="auto" w:sz="4" w:space="0"/>
              <w:right w:val="single" w:color="auto" w:sz="4" w:space="0"/>
            </w:tcBorders>
            <w:noWrap w:val="0"/>
            <w:vAlign w:val="center"/>
          </w:tcPr>
          <w:p w14:paraId="44A4157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维修方案完整性与规范性</w:t>
            </w:r>
          </w:p>
        </w:tc>
        <w:tc>
          <w:tcPr>
            <w:tcW w:w="5519" w:type="dxa"/>
            <w:tcBorders>
              <w:top w:val="single" w:color="auto" w:sz="4" w:space="0"/>
              <w:left w:val="single" w:color="auto" w:sz="4" w:space="0"/>
              <w:bottom w:val="single" w:color="auto" w:sz="4" w:space="0"/>
              <w:right w:val="single" w:color="auto" w:sz="4" w:space="0"/>
            </w:tcBorders>
            <w:noWrap w:val="0"/>
            <w:vAlign w:val="center"/>
          </w:tcPr>
          <w:p w14:paraId="63B25C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Times New Roman"/>
                <w:color w:val="auto"/>
                <w:sz w:val="18"/>
                <w:szCs w:val="18"/>
              </w:rPr>
            </w:pPr>
            <w:r>
              <w:rPr>
                <w:rFonts w:hint="eastAsia" w:ascii="宋体" w:hAnsi="宋体" w:eastAsia="宋体" w:cs="Times New Roman"/>
                <w:color w:val="auto"/>
                <w:sz w:val="18"/>
                <w:szCs w:val="18"/>
              </w:rPr>
              <w:t>供应商提供的维修方案完整规范，包含 SOP 作业指导书等操作规范、维修后检测报告（含绝缘测试、接地测试、通讯测试）、旧件返还管理机制等内容，方案完善合理得 10 分；方案基本完整得 5 分；方案缺失关键内容不得分。</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51D676A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b/>
                <w:sz w:val="18"/>
                <w:szCs w:val="18"/>
              </w:rPr>
            </w:pPr>
            <w:r>
              <w:rPr>
                <w:rFonts w:hint="eastAsia" w:ascii="宋体" w:hAnsi="宋体" w:eastAsia="宋体" w:cs="Times New Roman"/>
                <w:b/>
                <w:sz w:val="18"/>
                <w:szCs w:val="18"/>
                <w:lang w:val="en-US" w:eastAsia="zh-CN"/>
              </w:rPr>
              <w:t>10</w:t>
            </w:r>
            <w:r>
              <w:rPr>
                <w:rFonts w:hint="eastAsia" w:ascii="宋体" w:hAnsi="宋体" w:eastAsia="宋体" w:cs="Times New Roman"/>
                <w:b/>
                <w:sz w:val="18"/>
                <w:szCs w:val="18"/>
              </w:rPr>
              <w:t>分</w:t>
            </w:r>
          </w:p>
        </w:tc>
      </w:tr>
      <w:tr w14:paraId="14EF9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14:paraId="2708807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435"/>
              <w:jc w:val="center"/>
              <w:textAlignment w:val="auto"/>
              <w:rPr>
                <w:rFonts w:hint="eastAsia" w:ascii="宋体" w:hAnsi="宋体" w:eastAsia="宋体" w:cs="Times New Roman"/>
                <w:b/>
                <w:sz w:val="18"/>
                <w:szCs w:val="18"/>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307B767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应急预案</w:t>
            </w:r>
          </w:p>
        </w:tc>
        <w:tc>
          <w:tcPr>
            <w:tcW w:w="1045" w:type="dxa"/>
            <w:tcBorders>
              <w:top w:val="single" w:color="auto" w:sz="4" w:space="0"/>
              <w:left w:val="single" w:color="auto" w:sz="4" w:space="0"/>
              <w:bottom w:val="single" w:color="auto" w:sz="4" w:space="0"/>
              <w:right w:val="single" w:color="auto" w:sz="4" w:space="0"/>
            </w:tcBorders>
            <w:noWrap w:val="0"/>
            <w:vAlign w:val="center"/>
          </w:tcPr>
          <w:p w14:paraId="22FA3F3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突发故障应急保障方案</w:t>
            </w:r>
          </w:p>
        </w:tc>
        <w:tc>
          <w:tcPr>
            <w:tcW w:w="5519" w:type="dxa"/>
            <w:tcBorders>
              <w:top w:val="single" w:color="auto" w:sz="4" w:space="0"/>
              <w:left w:val="single" w:color="auto" w:sz="4" w:space="0"/>
              <w:bottom w:val="single" w:color="auto" w:sz="4" w:space="0"/>
              <w:right w:val="single" w:color="auto" w:sz="4" w:space="0"/>
            </w:tcBorders>
            <w:noWrap w:val="0"/>
            <w:vAlign w:val="center"/>
          </w:tcPr>
          <w:p w14:paraId="11B0196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Times New Roman"/>
                <w:sz w:val="18"/>
                <w:szCs w:val="18"/>
              </w:rPr>
            </w:pPr>
            <w:r>
              <w:rPr>
                <w:rFonts w:hint="eastAsia" w:ascii="宋体" w:hAnsi="宋体" w:eastAsia="宋体" w:cs="Times New Roman"/>
                <w:sz w:val="18"/>
                <w:szCs w:val="18"/>
              </w:rPr>
              <w:t>供应商针对台风、节假日、重要活动、批量故障等突发场景制定了详细的应急方案，具备 7*24 小时应急响应能力，方案完善得 6 分；方案基本完整得 3 分；无应急预案不得分。</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5A805D5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b/>
                <w:sz w:val="18"/>
                <w:szCs w:val="18"/>
              </w:rPr>
            </w:pPr>
            <w:r>
              <w:rPr>
                <w:rFonts w:hint="eastAsia" w:ascii="宋体" w:hAnsi="宋体" w:eastAsia="宋体" w:cs="Times New Roman"/>
                <w:b/>
                <w:sz w:val="18"/>
                <w:szCs w:val="18"/>
                <w:lang w:val="en-US" w:eastAsia="zh-CN"/>
              </w:rPr>
              <w:t>6</w:t>
            </w:r>
            <w:r>
              <w:rPr>
                <w:rFonts w:hint="eastAsia" w:ascii="宋体" w:hAnsi="宋体" w:eastAsia="宋体" w:cs="Times New Roman"/>
                <w:b/>
                <w:sz w:val="18"/>
                <w:szCs w:val="18"/>
              </w:rPr>
              <w:t>分</w:t>
            </w:r>
          </w:p>
        </w:tc>
      </w:tr>
      <w:tr w14:paraId="3632A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2" w:hRule="atLeast"/>
          <w:jc w:val="center"/>
        </w:trPr>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14:paraId="069BE0F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435"/>
              <w:jc w:val="center"/>
              <w:textAlignment w:val="auto"/>
              <w:rPr>
                <w:rFonts w:hint="eastAsia" w:ascii="宋体" w:hAnsi="宋体" w:eastAsia="宋体" w:cs="Times New Roman"/>
                <w:b/>
                <w:sz w:val="18"/>
                <w:szCs w:val="18"/>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6B06BA7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备品备件保障能力</w:t>
            </w:r>
          </w:p>
        </w:tc>
        <w:tc>
          <w:tcPr>
            <w:tcW w:w="1045" w:type="dxa"/>
            <w:tcBorders>
              <w:top w:val="single" w:color="auto" w:sz="4" w:space="0"/>
              <w:left w:val="single" w:color="auto" w:sz="4" w:space="0"/>
              <w:bottom w:val="single" w:color="auto" w:sz="4" w:space="0"/>
              <w:right w:val="single" w:color="auto" w:sz="4" w:space="0"/>
            </w:tcBorders>
            <w:noWrap w:val="0"/>
            <w:vAlign w:val="center"/>
          </w:tcPr>
          <w:p w14:paraId="2F33F4B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备品备件库存与保障</w:t>
            </w:r>
          </w:p>
        </w:tc>
        <w:tc>
          <w:tcPr>
            <w:tcW w:w="5519" w:type="dxa"/>
            <w:tcBorders>
              <w:top w:val="single" w:color="auto" w:sz="4" w:space="0"/>
              <w:left w:val="single" w:color="auto" w:sz="4" w:space="0"/>
              <w:bottom w:val="single" w:color="auto" w:sz="4" w:space="0"/>
              <w:right w:val="single" w:color="auto" w:sz="4" w:space="0"/>
            </w:tcBorders>
            <w:noWrap w:val="0"/>
            <w:vAlign w:val="center"/>
          </w:tcPr>
          <w:p w14:paraId="7F2A561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Times New Roman"/>
                <w:sz w:val="18"/>
                <w:szCs w:val="18"/>
              </w:rPr>
            </w:pPr>
            <w:r>
              <w:rPr>
                <w:rFonts w:hint="eastAsia" w:ascii="宋体" w:hAnsi="宋体" w:eastAsia="宋体" w:cs="Times New Roman"/>
                <w:sz w:val="18"/>
                <w:szCs w:val="18"/>
              </w:rPr>
              <w:t>供应商</w:t>
            </w:r>
            <w:r>
              <w:rPr>
                <w:rFonts w:hint="eastAsia" w:ascii="宋体" w:hAnsi="宋体" w:cs="Times New Roman"/>
                <w:sz w:val="18"/>
                <w:szCs w:val="18"/>
                <w:lang w:val="en-US" w:eastAsia="zh-CN"/>
              </w:rPr>
              <w:t>应</w:t>
            </w:r>
            <w:r>
              <w:rPr>
                <w:rFonts w:hint="eastAsia" w:ascii="宋体" w:hAnsi="宋体" w:eastAsia="宋体" w:cs="Times New Roman"/>
                <w:sz w:val="18"/>
                <w:szCs w:val="18"/>
              </w:rPr>
              <w:t>设有备品备件仓库，核心易损件（充电枪线、熔断器、继电器、功率模块等）现货库存种类齐全、数量充足，可覆盖常见故障维修需求，得 6 分；有备件但种类较少得 3 分；承诺中标后建设仓库得 1 分；无相关承诺不得分。</w:t>
            </w:r>
          </w:p>
          <w:p w14:paraId="0F83B5C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宋体" w:hAnsi="宋体" w:eastAsia="宋体" w:cs="Times New Roman"/>
                <w:sz w:val="18"/>
                <w:szCs w:val="18"/>
                <w:lang w:val="en-US" w:eastAsia="zh-CN"/>
              </w:rPr>
            </w:pPr>
            <w:r>
              <w:rPr>
                <w:rFonts w:hint="default" w:ascii="宋体" w:hAnsi="宋体" w:eastAsia="宋体" w:cs="Times New Roman"/>
                <w:sz w:val="18"/>
                <w:szCs w:val="18"/>
                <w:lang w:val="en-US" w:eastAsia="zh-CN"/>
              </w:rPr>
              <w:t>提供近期采购上述备件的发票、进货单或采购合同复印件。</w:t>
            </w:r>
          </w:p>
          <w:p w14:paraId="48C949B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宋体" w:hAnsi="宋体" w:eastAsia="宋体" w:cs="Times New Roman"/>
                <w:sz w:val="18"/>
                <w:szCs w:val="18"/>
                <w:lang w:val="en-US" w:eastAsia="zh-CN"/>
              </w:rPr>
            </w:pPr>
            <w:r>
              <w:rPr>
                <w:rFonts w:hint="eastAsia" w:ascii="宋体" w:hAnsi="宋体" w:cs="Times New Roman"/>
                <w:sz w:val="18"/>
                <w:szCs w:val="18"/>
                <w:lang w:val="en-US" w:eastAsia="zh-CN"/>
              </w:rPr>
              <w:t>以及</w:t>
            </w:r>
            <w:r>
              <w:rPr>
                <w:rFonts w:hint="default" w:ascii="宋体" w:hAnsi="宋体" w:eastAsia="宋体" w:cs="Times New Roman"/>
                <w:sz w:val="18"/>
                <w:szCs w:val="18"/>
                <w:lang w:val="en-US" w:eastAsia="zh-CN"/>
              </w:rPr>
              <w:t>提供仓库内对应备件的实物照片（照片中最好能体现品牌型号或数量）</w:t>
            </w:r>
            <w:r>
              <w:rPr>
                <w:rFonts w:hint="eastAsia" w:ascii="宋体" w:hAnsi="宋体" w:cs="Times New Roman"/>
                <w:sz w:val="18"/>
                <w:szCs w:val="18"/>
                <w:lang w:val="en-US" w:eastAsia="zh-CN"/>
              </w:rPr>
              <w:t>，按提供种类比例得分，不提供不得分。</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30629AE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Times New Roman"/>
                <w:b/>
                <w:sz w:val="18"/>
                <w:szCs w:val="18"/>
                <w:lang w:val="en-US" w:eastAsia="zh-CN"/>
              </w:rPr>
            </w:pPr>
            <w:r>
              <w:rPr>
                <w:rFonts w:hint="eastAsia" w:ascii="宋体" w:hAnsi="宋体" w:eastAsia="宋体" w:cs="Times New Roman"/>
                <w:b/>
                <w:sz w:val="18"/>
                <w:szCs w:val="18"/>
                <w:lang w:val="en-US" w:eastAsia="zh-CN"/>
              </w:rPr>
              <w:t>6分</w:t>
            </w:r>
          </w:p>
        </w:tc>
      </w:tr>
      <w:tr w14:paraId="27DF2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8" w:hRule="atLeast"/>
          <w:jc w:val="center"/>
        </w:trPr>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14:paraId="66BA7FA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435"/>
              <w:jc w:val="center"/>
              <w:textAlignment w:val="auto"/>
              <w:rPr>
                <w:rFonts w:hint="eastAsia" w:ascii="宋体" w:hAnsi="宋体" w:eastAsia="宋体" w:cs="Times New Roman"/>
                <w:b/>
                <w:sz w:val="18"/>
                <w:szCs w:val="18"/>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57E957E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故障响应承诺</w:t>
            </w:r>
          </w:p>
        </w:tc>
        <w:tc>
          <w:tcPr>
            <w:tcW w:w="1045" w:type="dxa"/>
            <w:tcBorders>
              <w:top w:val="single" w:color="auto" w:sz="4" w:space="0"/>
              <w:left w:val="single" w:color="auto" w:sz="4" w:space="0"/>
              <w:bottom w:val="single" w:color="auto" w:sz="4" w:space="0"/>
              <w:right w:val="single" w:color="auto" w:sz="4" w:space="0"/>
            </w:tcBorders>
            <w:noWrap w:val="0"/>
            <w:vAlign w:val="center"/>
          </w:tcPr>
          <w:p w14:paraId="6EA624F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故障响应与到场时效承诺</w:t>
            </w:r>
          </w:p>
        </w:tc>
        <w:tc>
          <w:tcPr>
            <w:tcW w:w="5519" w:type="dxa"/>
            <w:tcBorders>
              <w:top w:val="single" w:color="auto" w:sz="4" w:space="0"/>
              <w:left w:val="single" w:color="auto" w:sz="4" w:space="0"/>
              <w:bottom w:val="single" w:color="auto" w:sz="4" w:space="0"/>
              <w:right w:val="single" w:color="auto" w:sz="4" w:space="0"/>
            </w:tcBorders>
            <w:noWrap w:val="0"/>
            <w:vAlign w:val="center"/>
          </w:tcPr>
          <w:p w14:paraId="160E873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Times New Roman"/>
                <w:sz w:val="18"/>
                <w:szCs w:val="18"/>
              </w:rPr>
            </w:pPr>
            <w:r>
              <w:rPr>
                <w:rFonts w:hint="eastAsia" w:ascii="宋体" w:hAnsi="宋体" w:eastAsia="宋体" w:cs="Times New Roman"/>
                <w:sz w:val="18"/>
                <w:szCs w:val="18"/>
              </w:rPr>
              <w:t>供应商承诺接报后30分钟内响应，市区站点 2 小时内到场、偏远站点 4 小时内到场</w:t>
            </w:r>
            <w:r>
              <w:rPr>
                <w:rFonts w:hint="eastAsia" w:ascii="宋体" w:hAnsi="宋体" w:cs="Times New Roman"/>
                <w:sz w:val="18"/>
                <w:szCs w:val="18"/>
                <w:lang w:val="en-US" w:eastAsia="zh-CN"/>
              </w:rPr>
              <w:t>的</w:t>
            </w:r>
            <w:r>
              <w:rPr>
                <w:rFonts w:hint="eastAsia" w:ascii="宋体" w:hAnsi="宋体" w:eastAsia="宋体" w:cs="Times New Roman"/>
                <w:sz w:val="18"/>
                <w:szCs w:val="18"/>
              </w:rPr>
              <w:t>，得 2 分；承诺</w:t>
            </w:r>
            <w:r>
              <w:rPr>
                <w:rFonts w:hint="eastAsia" w:ascii="宋体" w:hAnsi="宋体" w:cs="Times New Roman"/>
                <w:sz w:val="18"/>
                <w:szCs w:val="18"/>
                <w:lang w:val="en-US" w:eastAsia="zh-CN"/>
              </w:rPr>
              <w:t>2</w:t>
            </w:r>
            <w:r>
              <w:rPr>
                <w:rFonts w:hint="eastAsia" w:ascii="宋体" w:hAnsi="宋体" w:eastAsia="宋体" w:cs="Times New Roman"/>
                <w:sz w:val="18"/>
                <w:szCs w:val="18"/>
              </w:rPr>
              <w:t xml:space="preserve"> 小时内响应，市区站点 </w:t>
            </w:r>
            <w:r>
              <w:rPr>
                <w:rFonts w:hint="eastAsia" w:ascii="宋体" w:hAnsi="宋体" w:cs="Times New Roman"/>
                <w:sz w:val="18"/>
                <w:szCs w:val="18"/>
                <w:lang w:val="en-US" w:eastAsia="zh-CN"/>
              </w:rPr>
              <w:t>3</w:t>
            </w:r>
            <w:r>
              <w:rPr>
                <w:rFonts w:hint="eastAsia" w:ascii="宋体" w:hAnsi="宋体" w:eastAsia="宋体" w:cs="Times New Roman"/>
                <w:sz w:val="18"/>
                <w:szCs w:val="18"/>
              </w:rPr>
              <w:t>小时内到场、偏远站点</w:t>
            </w:r>
            <w:r>
              <w:rPr>
                <w:rFonts w:hint="eastAsia" w:ascii="宋体" w:hAnsi="宋体" w:cs="Times New Roman"/>
                <w:sz w:val="18"/>
                <w:szCs w:val="18"/>
                <w:lang w:val="en-US" w:eastAsia="zh-CN"/>
              </w:rPr>
              <w:t>6</w:t>
            </w:r>
            <w:r>
              <w:rPr>
                <w:rFonts w:hint="eastAsia" w:ascii="宋体" w:hAnsi="宋体" w:eastAsia="宋体" w:cs="Times New Roman"/>
                <w:sz w:val="18"/>
                <w:szCs w:val="18"/>
              </w:rPr>
              <w:t>小时内到场的，的得 1 分；超过 4 小时响应或未提供具体时限的不得分。</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2AF6448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Times New Roman"/>
                <w:b/>
                <w:sz w:val="18"/>
                <w:szCs w:val="18"/>
                <w:lang w:val="en-US" w:eastAsia="zh-CN"/>
              </w:rPr>
            </w:pPr>
            <w:r>
              <w:rPr>
                <w:rFonts w:hint="eastAsia" w:ascii="宋体" w:hAnsi="宋体" w:eastAsia="宋体" w:cs="Times New Roman"/>
                <w:b/>
                <w:sz w:val="18"/>
                <w:szCs w:val="18"/>
                <w:lang w:val="en-US" w:eastAsia="zh-CN"/>
              </w:rPr>
              <w:t>2分</w:t>
            </w:r>
          </w:p>
        </w:tc>
      </w:tr>
      <w:tr w14:paraId="3301A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14:paraId="25C22AF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435"/>
              <w:jc w:val="center"/>
              <w:textAlignment w:val="auto"/>
              <w:rPr>
                <w:rFonts w:hint="eastAsia" w:ascii="宋体" w:hAnsi="宋体" w:eastAsia="宋体" w:cs="Times New Roman"/>
                <w:b/>
                <w:sz w:val="18"/>
                <w:szCs w:val="18"/>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3564C6C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质量安全保障</w:t>
            </w:r>
          </w:p>
        </w:tc>
        <w:tc>
          <w:tcPr>
            <w:tcW w:w="1045" w:type="dxa"/>
            <w:tcBorders>
              <w:top w:val="single" w:color="auto" w:sz="4" w:space="0"/>
              <w:left w:val="single" w:color="auto" w:sz="4" w:space="0"/>
              <w:bottom w:val="single" w:color="auto" w:sz="4" w:space="0"/>
              <w:right w:val="single" w:color="auto" w:sz="4" w:space="0"/>
            </w:tcBorders>
            <w:noWrap w:val="0"/>
            <w:vAlign w:val="center"/>
          </w:tcPr>
          <w:p w14:paraId="63173C9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质量与安全管理体系</w:t>
            </w:r>
          </w:p>
        </w:tc>
        <w:tc>
          <w:tcPr>
            <w:tcW w:w="5519" w:type="dxa"/>
            <w:tcBorders>
              <w:top w:val="single" w:color="auto" w:sz="4" w:space="0"/>
              <w:left w:val="single" w:color="auto" w:sz="4" w:space="0"/>
              <w:bottom w:val="single" w:color="auto" w:sz="4" w:space="0"/>
              <w:right w:val="single" w:color="auto" w:sz="4" w:space="0"/>
            </w:tcBorders>
            <w:noWrap w:val="0"/>
            <w:vAlign w:val="center"/>
          </w:tcPr>
          <w:p w14:paraId="086D47D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Times New Roman"/>
                <w:sz w:val="18"/>
                <w:szCs w:val="18"/>
              </w:rPr>
            </w:pPr>
            <w:r>
              <w:rPr>
                <w:rFonts w:hint="eastAsia" w:ascii="宋体" w:hAnsi="宋体" w:eastAsia="宋体" w:cs="Times New Roman"/>
                <w:sz w:val="18"/>
                <w:szCs w:val="18"/>
              </w:rPr>
              <w:t>供应商具备完善的维修质量管控体系、安全生产管理制度，有明确的质量追责机制、安全作业规范，得 6 分；有基本制度得 3 分；无相关制度不得分。</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6038872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Times New Roman"/>
                <w:b/>
                <w:sz w:val="18"/>
                <w:szCs w:val="18"/>
                <w:lang w:val="en-US" w:eastAsia="zh-CN"/>
              </w:rPr>
            </w:pPr>
            <w:r>
              <w:rPr>
                <w:rFonts w:hint="eastAsia" w:ascii="宋体" w:hAnsi="宋体" w:eastAsia="宋体" w:cs="Times New Roman"/>
                <w:b/>
                <w:sz w:val="18"/>
                <w:szCs w:val="18"/>
                <w:lang w:val="en-US" w:eastAsia="zh-CN"/>
              </w:rPr>
              <w:t>6分</w:t>
            </w:r>
          </w:p>
        </w:tc>
      </w:tr>
      <w:tr w14:paraId="7065F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1" w:hRule="atLeast"/>
          <w:jc w:val="center"/>
        </w:trPr>
        <w:tc>
          <w:tcPr>
            <w:tcW w:w="1025" w:type="dxa"/>
            <w:tcBorders>
              <w:top w:val="single" w:color="auto" w:sz="4" w:space="0"/>
              <w:left w:val="single" w:color="auto" w:sz="4" w:space="0"/>
              <w:bottom w:val="single" w:color="auto" w:sz="4" w:space="0"/>
              <w:right w:val="single" w:color="auto" w:sz="4" w:space="0"/>
            </w:tcBorders>
            <w:noWrap w:val="0"/>
            <w:vAlign w:val="center"/>
          </w:tcPr>
          <w:p w14:paraId="41A65C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价格分</w:t>
            </w:r>
          </w:p>
          <w:p w14:paraId="4E5F7B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Times New Roman"/>
                <w:b/>
                <w:sz w:val="18"/>
                <w:szCs w:val="18"/>
              </w:rPr>
            </w:pPr>
            <w:r>
              <w:rPr>
                <w:rFonts w:hint="eastAsia" w:ascii="宋体" w:hAnsi="宋体" w:eastAsia="宋体" w:cs="Times New Roman"/>
                <w:sz w:val="18"/>
                <w:szCs w:val="18"/>
              </w:rPr>
              <w:t>（</w:t>
            </w:r>
            <w:r>
              <w:rPr>
                <w:rFonts w:hint="eastAsia" w:ascii="宋体" w:hAnsi="宋体" w:eastAsia="宋体" w:cs="Times New Roman"/>
                <w:sz w:val="18"/>
                <w:szCs w:val="18"/>
                <w:lang w:val="en-US" w:eastAsia="zh-CN"/>
              </w:rPr>
              <w:t>20</w:t>
            </w:r>
            <w:r>
              <w:rPr>
                <w:rFonts w:hint="eastAsia" w:ascii="宋体" w:hAnsi="宋体" w:eastAsia="宋体" w:cs="Times New Roman"/>
                <w:sz w:val="18"/>
                <w:szCs w:val="18"/>
              </w:rPr>
              <w:t>分）</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525B83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Times New Roman"/>
                <w:sz w:val="18"/>
                <w:szCs w:val="18"/>
              </w:rPr>
            </w:pPr>
          </w:p>
        </w:tc>
        <w:tc>
          <w:tcPr>
            <w:tcW w:w="7409" w:type="dxa"/>
            <w:gridSpan w:val="3"/>
            <w:tcBorders>
              <w:top w:val="single" w:color="auto" w:sz="4" w:space="0"/>
              <w:left w:val="single" w:color="auto" w:sz="4" w:space="0"/>
              <w:bottom w:val="single" w:color="auto" w:sz="4" w:space="0"/>
              <w:right w:val="single" w:color="auto" w:sz="4" w:space="0"/>
            </w:tcBorders>
            <w:noWrap w:val="0"/>
            <w:vAlign w:val="center"/>
          </w:tcPr>
          <w:p w14:paraId="67E85C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Times New Roman"/>
                <w:sz w:val="18"/>
                <w:szCs w:val="18"/>
              </w:rPr>
            </w:pPr>
            <w:r>
              <w:rPr>
                <w:rFonts w:hint="eastAsia" w:ascii="宋体" w:hAnsi="宋体" w:eastAsia="宋体" w:cs="Times New Roman"/>
                <w:sz w:val="18"/>
                <w:szCs w:val="18"/>
              </w:rPr>
              <w:t>价格分统一采用低价优先法，即满足</w:t>
            </w:r>
            <w:r>
              <w:rPr>
                <w:rFonts w:hint="eastAsia" w:ascii="宋体" w:hAnsi="宋体" w:cs="Times New Roman"/>
                <w:sz w:val="18"/>
                <w:szCs w:val="18"/>
                <w:lang w:val="en-US" w:eastAsia="zh-CN"/>
              </w:rPr>
              <w:t>遴选</w:t>
            </w:r>
            <w:r>
              <w:rPr>
                <w:rFonts w:hint="eastAsia" w:ascii="宋体" w:hAnsi="宋体" w:eastAsia="宋体" w:cs="Times New Roman"/>
                <w:sz w:val="18"/>
                <w:szCs w:val="18"/>
              </w:rPr>
              <w:t>文件要求且最后报价最低的供应商的价格为基准价，其价格分为满分</w:t>
            </w:r>
            <w:r>
              <w:rPr>
                <w:rFonts w:hint="eastAsia" w:ascii="宋体" w:hAnsi="宋体" w:eastAsia="宋体" w:cs="Times New Roman"/>
                <w:sz w:val="18"/>
                <w:szCs w:val="18"/>
                <w:u w:val="single"/>
                <w:lang w:val="en-US" w:eastAsia="zh-CN"/>
              </w:rPr>
              <w:t>2</w:t>
            </w:r>
            <w:r>
              <w:rPr>
                <w:rFonts w:hint="eastAsia" w:ascii="宋体" w:hAnsi="宋体" w:eastAsia="宋体" w:cs="Times New Roman"/>
                <w:sz w:val="18"/>
                <w:szCs w:val="18"/>
                <w:u w:val="single"/>
              </w:rPr>
              <w:t>0</w:t>
            </w:r>
            <w:r>
              <w:rPr>
                <w:rFonts w:hint="eastAsia" w:ascii="宋体" w:hAnsi="宋体" w:eastAsia="宋体" w:cs="Times New Roman"/>
                <w:sz w:val="18"/>
                <w:szCs w:val="18"/>
              </w:rPr>
              <w:t>分。其他供应商的价格分统一按照下列公式计算：</w:t>
            </w:r>
          </w:p>
          <w:p w14:paraId="1CF25B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Times New Roman"/>
                <w:sz w:val="18"/>
                <w:szCs w:val="18"/>
              </w:rPr>
            </w:pPr>
            <w:r>
              <w:rPr>
                <w:rFonts w:hint="eastAsia" w:ascii="宋体" w:hAnsi="宋体" w:eastAsia="宋体" w:cs="Times New Roman"/>
                <w:sz w:val="18"/>
                <w:szCs w:val="18"/>
              </w:rPr>
              <w:t>报价得分＝（基准价/报价）×</w:t>
            </w:r>
            <w:r>
              <w:rPr>
                <w:rFonts w:hint="eastAsia" w:ascii="宋体" w:hAnsi="宋体" w:eastAsia="宋体" w:cs="Times New Roman"/>
                <w:sz w:val="18"/>
                <w:szCs w:val="18"/>
                <w:u w:val="single"/>
                <w:lang w:val="en-US" w:eastAsia="zh-CN"/>
              </w:rPr>
              <w:t>2</w:t>
            </w:r>
            <w:r>
              <w:rPr>
                <w:rFonts w:hint="eastAsia" w:ascii="宋体" w:hAnsi="宋体" w:eastAsia="宋体" w:cs="Times New Roman"/>
                <w:sz w:val="18"/>
                <w:szCs w:val="18"/>
                <w:u w:val="single"/>
              </w:rPr>
              <w:t>0</w:t>
            </w:r>
            <w:r>
              <w:rPr>
                <w:rFonts w:hint="eastAsia" w:ascii="宋体" w:hAnsi="宋体" w:eastAsia="宋体" w:cs="Times New Roman"/>
                <w:sz w:val="18"/>
                <w:szCs w:val="18"/>
              </w:rPr>
              <w:t>％×100。</w:t>
            </w:r>
          </w:p>
          <w:p w14:paraId="2D0334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sz w:val="18"/>
                <w:szCs w:val="18"/>
              </w:rPr>
            </w:pPr>
            <w:r>
              <w:rPr>
                <w:rFonts w:hint="eastAsia" w:ascii="宋体" w:hAnsi="宋体" w:eastAsia="宋体" w:cs="Times New Roman"/>
                <w:sz w:val="18"/>
                <w:szCs w:val="18"/>
              </w:rPr>
              <w:t>报价得分四舍五入保留至小数点后两位数。</w:t>
            </w:r>
          </w:p>
        </w:tc>
      </w:tr>
    </w:tbl>
    <w:p w14:paraId="6C300256">
      <w:pPr>
        <w:keepNext w:val="0"/>
        <w:keepLines w:val="0"/>
        <w:widowControl w:val="0"/>
        <w:suppressLineNumbers w:val="0"/>
        <w:autoSpaceDE w:val="0"/>
        <w:autoSpaceDN w:val="0"/>
        <w:spacing w:before="1" w:beforeAutospacing="0" w:after="0" w:afterAutospacing="0" w:line="360" w:lineRule="auto"/>
        <w:ind w:left="0" w:right="0"/>
        <w:jc w:val="left"/>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注：1、各评委独立打分，投标人最终得分，按所有评委打分算术平均值计分； 2、上述所有涉及打分项内容的相关证件等证明材料原件中标后备查。</w:t>
      </w:r>
    </w:p>
    <w:p w14:paraId="65460DFC">
      <w:pPr>
        <w:widowControl w:val="0"/>
        <w:tabs>
          <w:tab w:val="left" w:pos="1090"/>
        </w:tabs>
        <w:autoSpaceDE w:val="0"/>
        <w:autoSpaceDN w:val="0"/>
        <w:spacing w:line="360" w:lineRule="auto"/>
        <w:ind w:left="0" w:firstLine="420" w:firstLineChars="200"/>
        <w:jc w:val="left"/>
        <w:rPr>
          <w:rFonts w:hint="eastAsia" w:ascii="宋体" w:hAnsi="宋体" w:eastAsia="宋体" w:cs="宋体"/>
          <w:kern w:val="0"/>
          <w:sz w:val="24"/>
          <w:szCs w:val="24"/>
          <w:lang w:val="en-US" w:eastAsia="zh-CN" w:bidi="ar-SA"/>
        </w:rPr>
      </w:pPr>
      <w:r>
        <w:rPr>
          <w:rFonts w:hint="eastAsia" w:ascii="宋体" w:hAnsi="宋体" w:eastAsia="宋体" w:cs="宋体"/>
          <w:kern w:val="2"/>
          <w:sz w:val="21"/>
          <w:szCs w:val="21"/>
          <w:lang w:val="en-US" w:eastAsia="zh-CN" w:bidi="ar"/>
        </w:rPr>
        <w:t>3.2 异常低价响应审查</w:t>
      </w:r>
    </w:p>
    <w:tbl>
      <w:tblPr>
        <w:tblStyle w:val="19"/>
        <w:tblW w:w="47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0"/>
        <w:gridCol w:w="1146"/>
        <w:gridCol w:w="5361"/>
        <w:gridCol w:w="2434"/>
      </w:tblGrid>
      <w:tr w14:paraId="538E3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711" w:type="dxa"/>
            <w:gridSpan w:val="4"/>
            <w:tcBorders>
              <w:top w:val="single" w:color="auto" w:sz="4" w:space="0"/>
              <w:left w:val="single" w:color="auto" w:sz="4" w:space="0"/>
              <w:bottom w:val="single" w:color="auto" w:sz="4" w:space="0"/>
              <w:right w:val="single" w:color="auto" w:sz="4" w:space="0"/>
            </w:tcBorders>
            <w:noWrap w:val="0"/>
            <w:vAlign w:val="center"/>
          </w:tcPr>
          <w:p w14:paraId="126DBD60">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s="Times New Roman"/>
              </w:rPr>
            </w:pPr>
            <w:r>
              <w:rPr>
                <w:rFonts w:hint="default" w:ascii="宋体" w:hAnsi="宋体" w:eastAsia="宋体" w:cs="Times New Roman"/>
                <w:b/>
              </w:rPr>
              <w:t>异常低价响应审查表</w:t>
            </w:r>
          </w:p>
        </w:tc>
      </w:tr>
      <w:tr w14:paraId="334FD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805" w:type="dxa"/>
            <w:tcBorders>
              <w:top w:val="single" w:color="auto" w:sz="4" w:space="0"/>
              <w:left w:val="single" w:color="auto" w:sz="4" w:space="0"/>
              <w:bottom w:val="single" w:color="auto" w:sz="4" w:space="0"/>
              <w:right w:val="single" w:color="auto" w:sz="4" w:space="0"/>
            </w:tcBorders>
            <w:noWrap w:val="0"/>
            <w:vAlign w:val="center"/>
          </w:tcPr>
          <w:p w14:paraId="58F84E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Times New Roman"/>
                <w:sz w:val="18"/>
                <w:szCs w:val="18"/>
              </w:rPr>
            </w:pPr>
            <w:r>
              <w:rPr>
                <w:rFonts w:hint="default" w:ascii="宋体" w:hAnsi="宋体" w:eastAsia="宋体" w:cs="Times New Roman"/>
                <w:sz w:val="18"/>
                <w:szCs w:val="18"/>
              </w:rPr>
              <w:t>序号</w:t>
            </w:r>
          </w:p>
        </w:tc>
        <w:tc>
          <w:tcPr>
            <w:tcW w:w="1013" w:type="dxa"/>
            <w:tcBorders>
              <w:top w:val="single" w:color="auto" w:sz="4" w:space="0"/>
              <w:left w:val="single" w:color="auto" w:sz="4" w:space="0"/>
              <w:bottom w:val="single" w:color="auto" w:sz="4" w:space="0"/>
              <w:right w:val="single" w:color="auto" w:sz="4" w:space="0"/>
            </w:tcBorders>
            <w:noWrap w:val="0"/>
            <w:vAlign w:val="center"/>
          </w:tcPr>
          <w:p w14:paraId="3B2B10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Times New Roman"/>
                <w:sz w:val="18"/>
                <w:szCs w:val="18"/>
              </w:rPr>
            </w:pPr>
            <w:r>
              <w:rPr>
                <w:rFonts w:hint="default" w:ascii="宋体" w:hAnsi="宋体" w:eastAsia="宋体" w:cs="Times New Roman"/>
                <w:sz w:val="18"/>
                <w:szCs w:val="18"/>
              </w:rPr>
              <w:t>评审</w:t>
            </w:r>
          </w:p>
          <w:p w14:paraId="412732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Times New Roman"/>
                <w:sz w:val="18"/>
                <w:szCs w:val="18"/>
              </w:rPr>
            </w:pPr>
            <w:r>
              <w:rPr>
                <w:rFonts w:hint="default" w:ascii="宋体" w:hAnsi="宋体" w:eastAsia="宋体" w:cs="Times New Roman"/>
                <w:sz w:val="18"/>
                <w:szCs w:val="18"/>
              </w:rPr>
              <w:t>指标</w:t>
            </w:r>
          </w:p>
        </w:tc>
        <w:tc>
          <w:tcPr>
            <w:tcW w:w="4741" w:type="dxa"/>
            <w:tcBorders>
              <w:top w:val="single" w:color="auto" w:sz="4" w:space="0"/>
              <w:left w:val="single" w:color="auto" w:sz="4" w:space="0"/>
              <w:bottom w:val="single" w:color="auto" w:sz="4" w:space="0"/>
              <w:right w:val="single" w:color="auto" w:sz="4" w:space="0"/>
            </w:tcBorders>
            <w:noWrap w:val="0"/>
            <w:vAlign w:val="center"/>
          </w:tcPr>
          <w:p w14:paraId="126726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Times New Roman"/>
                <w:sz w:val="18"/>
                <w:szCs w:val="18"/>
              </w:rPr>
            </w:pPr>
            <w:r>
              <w:rPr>
                <w:rFonts w:hint="default" w:ascii="宋体" w:hAnsi="宋体" w:eastAsia="宋体" w:cs="Times New Roman"/>
                <w:sz w:val="18"/>
                <w:szCs w:val="18"/>
              </w:rPr>
              <w:t>评审标准</w:t>
            </w:r>
          </w:p>
        </w:tc>
        <w:tc>
          <w:tcPr>
            <w:tcW w:w="2152" w:type="dxa"/>
            <w:tcBorders>
              <w:top w:val="single" w:color="auto" w:sz="4" w:space="0"/>
              <w:left w:val="single" w:color="auto" w:sz="4" w:space="0"/>
              <w:bottom w:val="single" w:color="auto" w:sz="4" w:space="0"/>
              <w:right w:val="single" w:color="auto" w:sz="4" w:space="0"/>
            </w:tcBorders>
            <w:noWrap w:val="0"/>
            <w:vAlign w:val="center"/>
          </w:tcPr>
          <w:p w14:paraId="3D6149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Times New Roman"/>
                <w:sz w:val="18"/>
                <w:szCs w:val="18"/>
              </w:rPr>
            </w:pPr>
            <w:r>
              <w:rPr>
                <w:rFonts w:hint="default" w:ascii="宋体" w:hAnsi="宋体" w:eastAsia="宋体" w:cs="Times New Roman"/>
                <w:sz w:val="18"/>
                <w:szCs w:val="18"/>
              </w:rPr>
              <w:t>格式及材料要求</w:t>
            </w:r>
          </w:p>
        </w:tc>
      </w:tr>
      <w:tr w14:paraId="21510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05" w:type="dxa"/>
            <w:tcBorders>
              <w:top w:val="single" w:color="auto" w:sz="4" w:space="0"/>
              <w:left w:val="single" w:color="auto" w:sz="4" w:space="0"/>
              <w:bottom w:val="single" w:color="auto" w:sz="4" w:space="0"/>
              <w:right w:val="single" w:color="auto" w:sz="4" w:space="0"/>
            </w:tcBorders>
            <w:noWrap w:val="0"/>
            <w:vAlign w:val="center"/>
          </w:tcPr>
          <w:p w14:paraId="09BA37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Times New Roman"/>
                <w:sz w:val="18"/>
                <w:szCs w:val="18"/>
              </w:rPr>
            </w:pPr>
            <w:r>
              <w:rPr>
                <w:rFonts w:hint="eastAsia" w:ascii="宋体" w:hAnsi="宋体" w:eastAsia="宋体" w:cs="Times New Roman"/>
                <w:sz w:val="18"/>
                <w:szCs w:val="18"/>
              </w:rPr>
              <w:t>1</w:t>
            </w:r>
          </w:p>
        </w:tc>
        <w:tc>
          <w:tcPr>
            <w:tcW w:w="1013" w:type="dxa"/>
            <w:tcBorders>
              <w:top w:val="single" w:color="auto" w:sz="4" w:space="0"/>
              <w:left w:val="single" w:color="auto" w:sz="4" w:space="0"/>
              <w:bottom w:val="single" w:color="auto" w:sz="4" w:space="0"/>
              <w:right w:val="single" w:color="auto" w:sz="4" w:space="0"/>
            </w:tcBorders>
            <w:noWrap w:val="0"/>
            <w:vAlign w:val="center"/>
          </w:tcPr>
          <w:p w14:paraId="767AE7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Times New Roman"/>
                <w:sz w:val="18"/>
                <w:szCs w:val="18"/>
              </w:rPr>
            </w:pPr>
            <w:r>
              <w:rPr>
                <w:rFonts w:hint="eastAsia" w:ascii="宋体" w:hAnsi="宋体" w:eastAsia="宋体" w:cs="Times New Roman"/>
                <w:sz w:val="18"/>
                <w:szCs w:val="18"/>
              </w:rPr>
              <w:t>异常低价响应审查</w:t>
            </w:r>
          </w:p>
        </w:tc>
        <w:tc>
          <w:tcPr>
            <w:tcW w:w="4741" w:type="dxa"/>
            <w:tcBorders>
              <w:top w:val="single" w:color="auto" w:sz="4" w:space="0"/>
              <w:left w:val="single" w:color="auto" w:sz="4" w:space="0"/>
              <w:bottom w:val="single" w:color="auto" w:sz="4" w:space="0"/>
              <w:right w:val="single" w:color="auto" w:sz="4" w:space="0"/>
            </w:tcBorders>
            <w:noWrap w:val="0"/>
            <w:vAlign w:val="center"/>
          </w:tcPr>
          <w:p w14:paraId="52F2AA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Times New Roman"/>
                <w:sz w:val="18"/>
                <w:szCs w:val="18"/>
              </w:rPr>
            </w:pPr>
            <w:r>
              <w:rPr>
                <w:rFonts w:hint="eastAsia" w:ascii="宋体" w:hAnsi="宋体" w:eastAsia="宋体" w:cs="Times New Roman"/>
                <w:sz w:val="18"/>
                <w:szCs w:val="18"/>
              </w:rPr>
              <w:t>（1）报价＜全部通过初审供应商响应报价平均值×50%；</w:t>
            </w:r>
          </w:p>
          <w:p w14:paraId="2F6D70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Times New Roman"/>
                <w:sz w:val="18"/>
                <w:szCs w:val="18"/>
              </w:rPr>
            </w:pPr>
            <w:r>
              <w:rPr>
                <w:rFonts w:hint="eastAsia" w:ascii="宋体" w:hAnsi="宋体" w:eastAsia="宋体" w:cs="Times New Roman"/>
                <w:sz w:val="18"/>
                <w:szCs w:val="18"/>
              </w:rPr>
              <w:t>（2）报价＜通过初审的次低报价供应商响应报价×50%；</w:t>
            </w:r>
          </w:p>
          <w:p w14:paraId="7AC980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Times New Roman"/>
                <w:sz w:val="18"/>
                <w:szCs w:val="18"/>
              </w:rPr>
            </w:pPr>
            <w:r>
              <w:rPr>
                <w:rFonts w:hint="eastAsia" w:ascii="宋体" w:hAnsi="宋体" w:eastAsia="宋体" w:cs="Times New Roman"/>
                <w:sz w:val="18"/>
                <w:szCs w:val="18"/>
              </w:rPr>
              <w:t>（3）报价＜采购项目最高限价（如采购项目未设定最高限价的，以采购项目预算金额作为最高限价）×45%；</w:t>
            </w:r>
          </w:p>
          <w:p w14:paraId="07F0A6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Times New Roman"/>
                <w:sz w:val="18"/>
                <w:szCs w:val="18"/>
              </w:rPr>
            </w:pPr>
            <w:r>
              <w:rPr>
                <w:rFonts w:hint="eastAsia" w:ascii="宋体" w:hAnsi="宋体" w:eastAsia="宋体" w:cs="Times New Roman"/>
                <w:sz w:val="18"/>
                <w:szCs w:val="18"/>
              </w:rPr>
              <w:t>（4）评标委员会基于专业判断，认为供应商报价过低，有可能影响</w:t>
            </w:r>
            <w:r>
              <w:rPr>
                <w:rFonts w:hint="eastAsia" w:ascii="宋体" w:hAnsi="宋体" w:eastAsia="宋体" w:cs="Times New Roman"/>
                <w:sz w:val="18"/>
                <w:szCs w:val="18"/>
                <w:lang w:val="en-US" w:eastAsia="zh-CN"/>
              </w:rPr>
              <w:t>服务</w:t>
            </w:r>
            <w:r>
              <w:rPr>
                <w:rFonts w:hint="eastAsia" w:ascii="宋体" w:hAnsi="宋体" w:eastAsia="宋体" w:cs="Times New Roman"/>
                <w:sz w:val="18"/>
                <w:szCs w:val="18"/>
              </w:rPr>
              <w:t>质量或者不能诚信履约的其他情形。</w:t>
            </w:r>
          </w:p>
          <w:p w14:paraId="1F0E4E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Times New Roman"/>
                <w:sz w:val="18"/>
                <w:szCs w:val="18"/>
              </w:rPr>
            </w:pPr>
            <w:r>
              <w:rPr>
                <w:rFonts w:hint="eastAsia" w:ascii="宋体" w:hAnsi="宋体" w:eastAsia="宋体" w:cs="Times New Roman"/>
                <w:sz w:val="18"/>
                <w:szCs w:val="18"/>
              </w:rPr>
              <w:t>提醒：</w:t>
            </w:r>
          </w:p>
          <w:p w14:paraId="2F317F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Times New Roman"/>
                <w:sz w:val="18"/>
                <w:szCs w:val="18"/>
              </w:rPr>
            </w:pPr>
            <w:r>
              <w:rPr>
                <w:rFonts w:hint="eastAsia" w:ascii="宋体" w:hAnsi="宋体" w:eastAsia="宋体" w:cs="Times New Roman"/>
                <w:sz w:val="18"/>
                <w:szCs w:val="18"/>
              </w:rPr>
              <w:t>1、上述第（1）项数值计算：涉及总价、单价的精确到“分”并四舍五入，涉及费率的精确到小数点后两位，第三位四舍五入（例：如平均值为123.456元，即为123.46元；如平均值为80.126%，即为80.13%）。</w:t>
            </w:r>
          </w:p>
          <w:p w14:paraId="5F8420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Times New Roman"/>
                <w:sz w:val="18"/>
                <w:szCs w:val="18"/>
              </w:rPr>
            </w:pPr>
            <w:r>
              <w:rPr>
                <w:rFonts w:hint="eastAsia" w:ascii="宋体" w:hAnsi="宋体" w:eastAsia="宋体" w:cs="Times New Roman"/>
                <w:sz w:val="18"/>
                <w:szCs w:val="18"/>
              </w:rPr>
              <w:t>2、上述报价均为供应商最后报价。</w:t>
            </w:r>
          </w:p>
        </w:tc>
        <w:tc>
          <w:tcPr>
            <w:tcW w:w="2152" w:type="dxa"/>
            <w:tcBorders>
              <w:top w:val="single" w:color="auto" w:sz="4" w:space="0"/>
              <w:left w:val="single" w:color="auto" w:sz="4" w:space="0"/>
              <w:bottom w:val="single" w:color="auto" w:sz="4" w:space="0"/>
              <w:right w:val="single" w:color="auto" w:sz="4" w:space="0"/>
            </w:tcBorders>
            <w:noWrap w:val="0"/>
            <w:vAlign w:val="center"/>
          </w:tcPr>
          <w:p w14:paraId="77496B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Times New Roman"/>
                <w:sz w:val="18"/>
                <w:szCs w:val="18"/>
              </w:rPr>
            </w:pPr>
            <w:r>
              <w:rPr>
                <w:rFonts w:hint="eastAsia" w:ascii="宋体" w:hAnsi="宋体" w:eastAsia="宋体" w:cs="Times New Roman"/>
                <w:sz w:val="18"/>
                <w:szCs w:val="18"/>
              </w:rPr>
              <w:t>供应商</w:t>
            </w:r>
            <w:r>
              <w:rPr>
                <w:rFonts w:hint="eastAsia" w:ascii="宋体" w:hAnsi="宋体" w:eastAsia="宋体" w:cs="Times New Roman"/>
                <w:sz w:val="18"/>
                <w:szCs w:val="18"/>
                <w:lang w:val="en-US" w:eastAsia="zh-CN"/>
              </w:rPr>
              <w:t>应</w:t>
            </w:r>
            <w:r>
              <w:rPr>
                <w:rFonts w:hint="eastAsia" w:ascii="宋体" w:hAnsi="宋体" w:eastAsia="宋体" w:cs="Times New Roman"/>
                <w:sz w:val="18"/>
                <w:szCs w:val="18"/>
              </w:rPr>
              <w:t>合理的时间内</w:t>
            </w:r>
            <w:r>
              <w:rPr>
                <w:rFonts w:hint="eastAsia" w:ascii="宋体" w:hAnsi="宋体" w:eastAsia="宋体" w:cs="Times New Roman"/>
                <w:sz w:val="18"/>
                <w:szCs w:val="18"/>
                <w:lang w:val="en-US" w:eastAsia="zh-CN"/>
              </w:rPr>
              <w:t>线上</w:t>
            </w:r>
            <w:r>
              <w:rPr>
                <w:rFonts w:hint="eastAsia" w:ascii="宋体" w:hAnsi="宋体" w:eastAsia="宋体" w:cs="Times New Roman"/>
                <w:sz w:val="18"/>
                <w:szCs w:val="18"/>
              </w:rPr>
              <w:t>对价格作出解释，提供项目具体成本测算等与报价合理性相关的书面说明及必要的证明材料，包括但不限于材料成本、人工成本等。</w:t>
            </w:r>
          </w:p>
        </w:tc>
      </w:tr>
    </w:tbl>
    <w:p w14:paraId="27B5DF1E">
      <w:pPr>
        <w:widowControl w:val="0"/>
        <w:tabs>
          <w:tab w:val="left" w:pos="1090"/>
        </w:tabs>
        <w:autoSpaceDE w:val="0"/>
        <w:autoSpaceDN w:val="0"/>
        <w:spacing w:line="360" w:lineRule="auto"/>
        <w:ind w:left="0" w:firstLine="0"/>
        <w:jc w:val="left"/>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注：</w:t>
      </w:r>
    </w:p>
    <w:p w14:paraId="27A0CF73">
      <w:pPr>
        <w:widowControl w:val="0"/>
        <w:tabs>
          <w:tab w:val="left" w:pos="1090"/>
        </w:tabs>
        <w:autoSpaceDE w:val="0"/>
        <w:autoSpaceDN w:val="0"/>
        <w:spacing w:line="360" w:lineRule="auto"/>
        <w:ind w:left="0" w:firstLine="420" w:firstLineChars="200"/>
        <w:jc w:val="left"/>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评标委员会启动异常低价响应审查后，属于评审标准中第（1）项至第（4）项情形的，应当要求相关供应商在合理的时间内（不少于30分钟）线上对响应价格作出解释，提供项目具体成本测算等与报价合理性相关的书面说明及必要的证明材料，包括但不限于材料成本、人工成本等。其中，属于第（3）项情形，供应商已随响应文件一并提交相关书面说明及必要的证明材料的，在评审现场可不再重复提交。</w:t>
      </w:r>
    </w:p>
    <w:p w14:paraId="15E024EC">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评标委员会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评标委员会应当将其作为无效响应处理。</w:t>
      </w:r>
    </w:p>
    <w:p w14:paraId="74AF667F">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2"/>
          <w:sz w:val="21"/>
          <w:szCs w:val="21"/>
        </w:rPr>
      </w:pPr>
      <w:r>
        <w:rPr>
          <w:rFonts w:hint="eastAsia" w:ascii="宋体" w:hAnsi="宋体" w:eastAsia="宋体" w:cs="宋体"/>
          <w:b/>
          <w:bCs/>
          <w:kern w:val="2"/>
          <w:sz w:val="21"/>
          <w:szCs w:val="21"/>
          <w:lang w:val="en-US" w:eastAsia="zh-CN" w:bidi="ar"/>
        </w:rPr>
        <w:t>第十条</w:t>
      </w:r>
      <w:r>
        <w:rPr>
          <w:rFonts w:hint="eastAsia" w:ascii="宋体" w:hAnsi="宋体" w:eastAsia="宋体" w:cs="宋体"/>
          <w:kern w:val="2"/>
          <w:sz w:val="21"/>
          <w:szCs w:val="21"/>
          <w:lang w:val="en-US" w:eastAsia="zh-CN" w:bidi="ar"/>
        </w:rPr>
        <w:t xml:space="preserve"> 评委独立评审后，评委会对投标人某项指标如有不同意见，按照少数服从多数的原则，确定该项指标是否通过。符合初审指标及评审指标通过标准的，为有效投标。</w:t>
      </w:r>
    </w:p>
    <w:p w14:paraId="154682FD">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2"/>
          <w:sz w:val="21"/>
          <w:szCs w:val="21"/>
        </w:rPr>
      </w:pPr>
      <w:r>
        <w:rPr>
          <w:rFonts w:hint="eastAsia" w:ascii="宋体" w:hAnsi="宋体" w:eastAsia="宋体" w:cs="宋体"/>
          <w:b/>
          <w:bCs/>
          <w:kern w:val="2"/>
          <w:sz w:val="21"/>
          <w:szCs w:val="21"/>
          <w:lang w:val="en-US" w:eastAsia="zh-CN" w:bidi="ar"/>
        </w:rPr>
        <w:t>第十一条</w:t>
      </w:r>
      <w:r>
        <w:rPr>
          <w:rFonts w:hint="eastAsia" w:ascii="宋体" w:hAnsi="宋体" w:eastAsia="宋体" w:cs="宋体"/>
          <w:kern w:val="2"/>
          <w:sz w:val="21"/>
          <w:szCs w:val="21"/>
          <w:lang w:val="en-US" w:eastAsia="zh-CN" w:bidi="ar"/>
        </w:rPr>
        <w:t xml:space="preserve"> 评标委员会根据综合得分从高到低推荐</w:t>
      </w:r>
      <w:r>
        <w:rPr>
          <w:rFonts w:hint="eastAsia" w:ascii="宋体" w:hAnsi="宋体" w:cs="宋体"/>
          <w:kern w:val="2"/>
          <w:sz w:val="21"/>
          <w:szCs w:val="21"/>
          <w:lang w:val="en-US" w:eastAsia="zh-CN" w:bidi="ar"/>
        </w:rPr>
        <w:t>3</w:t>
      </w:r>
      <w:r>
        <w:rPr>
          <w:rFonts w:hint="eastAsia" w:ascii="宋体" w:hAnsi="宋体" w:eastAsia="宋体" w:cs="宋体"/>
          <w:kern w:val="2"/>
          <w:sz w:val="21"/>
          <w:szCs w:val="21"/>
          <w:lang w:val="en-US" w:eastAsia="zh-CN" w:bidi="ar"/>
        </w:rPr>
        <w:t>家投标单位，如果综合得分相同的，以价格分得分最高的为排名靠前；若再次相同，则以系统技术指标响应得分高的优先，若再相同，则以技术方案得分高的优先。</w:t>
      </w:r>
    </w:p>
    <w:p w14:paraId="662F6393">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2"/>
          <w:sz w:val="21"/>
          <w:szCs w:val="21"/>
        </w:rPr>
      </w:pPr>
      <w:r>
        <w:rPr>
          <w:rFonts w:hint="eastAsia" w:ascii="宋体" w:hAnsi="宋体" w:eastAsia="宋体" w:cs="宋体"/>
          <w:b/>
          <w:bCs/>
          <w:kern w:val="2"/>
          <w:sz w:val="21"/>
          <w:szCs w:val="21"/>
          <w:lang w:val="en-US" w:eastAsia="zh-CN" w:bidi="ar"/>
        </w:rPr>
        <w:t>第十二条</w:t>
      </w:r>
      <w:r>
        <w:rPr>
          <w:rFonts w:hint="eastAsia" w:ascii="宋体" w:hAnsi="宋体" w:eastAsia="宋体" w:cs="宋体"/>
          <w:kern w:val="2"/>
          <w:sz w:val="21"/>
          <w:szCs w:val="21"/>
          <w:lang w:val="en-US" w:eastAsia="zh-CN" w:bidi="ar"/>
        </w:rPr>
        <w:t xml:space="preserve"> 评委会在评标过程中发现的问题，应当及时作出处理或者向招标人提出处理建议，并作书面记录。</w:t>
      </w:r>
    </w:p>
    <w:p w14:paraId="382CA083">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2"/>
          <w:sz w:val="21"/>
          <w:szCs w:val="21"/>
        </w:rPr>
      </w:pPr>
      <w:r>
        <w:rPr>
          <w:rFonts w:hint="eastAsia" w:ascii="宋体" w:hAnsi="宋体" w:eastAsia="宋体" w:cs="宋体"/>
          <w:b/>
          <w:bCs/>
          <w:kern w:val="2"/>
          <w:sz w:val="21"/>
          <w:szCs w:val="21"/>
          <w:lang w:val="en-US" w:eastAsia="zh-CN" w:bidi="ar"/>
        </w:rPr>
        <w:t>第十三条</w:t>
      </w:r>
      <w:r>
        <w:rPr>
          <w:rFonts w:hint="eastAsia" w:ascii="宋体" w:hAnsi="宋体" w:eastAsia="宋体" w:cs="宋体"/>
          <w:kern w:val="2"/>
          <w:sz w:val="21"/>
          <w:szCs w:val="21"/>
          <w:lang w:val="en-US" w:eastAsia="zh-CN" w:bidi="ar"/>
        </w:rPr>
        <w:t xml:space="preserve"> 评标后，评标委员会应制作评标报告。评委会全体成员及监督员均须在评标报告上签字。评审报告应如实记录本次评标的主要过程，全面反映评标过程中的各种不同的意见，以及其他澄清、说明、补正事项。</w:t>
      </w:r>
    </w:p>
    <w:p w14:paraId="4D7CB2AB">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sz w:val="24"/>
          <w:szCs w:val="24"/>
        </w:rPr>
      </w:pPr>
      <w:r>
        <w:rPr>
          <w:rFonts w:hint="eastAsia" w:ascii="宋体" w:hAnsi="宋体" w:eastAsia="宋体" w:cs="宋体"/>
          <w:b/>
          <w:bCs/>
          <w:kern w:val="2"/>
          <w:sz w:val="21"/>
          <w:szCs w:val="21"/>
          <w:lang w:val="en-US" w:eastAsia="zh-CN" w:bidi="ar"/>
        </w:rPr>
        <w:t>第十</w:t>
      </w:r>
      <w:r>
        <w:rPr>
          <w:rFonts w:hint="eastAsia" w:ascii="宋体" w:hAnsi="宋体" w:cs="宋体"/>
          <w:b/>
          <w:bCs/>
          <w:kern w:val="2"/>
          <w:sz w:val="21"/>
          <w:szCs w:val="21"/>
          <w:lang w:val="en-US" w:eastAsia="zh-CN" w:bidi="ar"/>
        </w:rPr>
        <w:t>四</w:t>
      </w:r>
      <w:r>
        <w:rPr>
          <w:rFonts w:hint="eastAsia" w:ascii="宋体" w:hAnsi="宋体" w:eastAsia="宋体" w:cs="宋体"/>
          <w:b/>
          <w:bCs/>
          <w:kern w:val="2"/>
          <w:sz w:val="21"/>
          <w:szCs w:val="21"/>
          <w:lang w:val="en-US" w:eastAsia="zh-CN" w:bidi="ar"/>
        </w:rPr>
        <w:t>条</w:t>
      </w:r>
      <w:r>
        <w:rPr>
          <w:rFonts w:hint="eastAsia" w:ascii="宋体" w:hAnsi="宋体" w:eastAsia="宋体" w:cs="宋体"/>
          <w:kern w:val="2"/>
          <w:sz w:val="21"/>
          <w:szCs w:val="21"/>
          <w:lang w:val="en-US" w:eastAsia="zh-CN" w:bidi="ar"/>
        </w:rPr>
        <w:t xml:space="preserve"> 本评标办法的解释权属于招标人。</w:t>
      </w:r>
    </w:p>
    <w:p w14:paraId="32E96F5A">
      <w:pPr>
        <w:rPr>
          <w:rFonts w:hint="eastAsia" w:ascii="宋体" w:hAnsi="宋体" w:eastAsia="宋体" w:cs="宋体"/>
          <w:sz w:val="24"/>
          <w:szCs w:val="24"/>
        </w:rPr>
        <w:sectPr>
          <w:pgSz w:w="12242" w:h="15842"/>
          <w:pgMar w:top="1701" w:right="1080" w:bottom="1587" w:left="1080" w:header="720" w:footer="720" w:gutter="0"/>
          <w:pgNumType w:fmt="decimal"/>
          <w:cols w:space="720" w:num="1"/>
          <w:titlePg/>
          <w:docGrid w:type="linesAndChars" w:linePitch="312" w:charSpace="0"/>
        </w:sectPr>
      </w:pPr>
    </w:p>
    <w:p w14:paraId="1D94E897">
      <w:pPr>
        <w:pStyle w:val="2"/>
        <w:spacing w:before="0" w:beforeLines="0" w:after="0" w:afterLines="0" w:line="240" w:lineRule="auto"/>
        <w:jc w:val="center"/>
        <w:rPr>
          <w:rFonts w:hint="eastAsia" w:ascii="宋体" w:hAnsi="宋体" w:cs="Arial"/>
          <w:sz w:val="36"/>
          <w:szCs w:val="36"/>
          <w:lang w:val="en-US" w:eastAsia="zh-CN"/>
        </w:rPr>
      </w:pPr>
      <w:bookmarkStart w:id="287" w:name="_Toc29238"/>
      <w:bookmarkStart w:id="288" w:name="_Toc2333"/>
      <w:bookmarkStart w:id="289" w:name="_Toc434829634"/>
      <w:bookmarkStart w:id="290" w:name="_Toc493081621"/>
      <w:r>
        <w:rPr>
          <w:rFonts w:hint="eastAsia" w:ascii="宋体" w:hAnsi="宋体" w:cs="Arial"/>
          <w:sz w:val="36"/>
          <w:szCs w:val="36"/>
          <w:lang w:val="en-US" w:eastAsia="zh-CN"/>
        </w:rPr>
        <w:t>第</w:t>
      </w:r>
      <w:r>
        <w:rPr>
          <w:rFonts w:hint="eastAsia" w:ascii="宋体" w:hAnsi="宋体" w:eastAsia="宋体" w:cs="Arial"/>
          <w:sz w:val="36"/>
          <w:szCs w:val="36"/>
          <w:lang w:val="en-US" w:eastAsia="zh-CN"/>
        </w:rPr>
        <w:t>四</w:t>
      </w:r>
      <w:r>
        <w:rPr>
          <w:rFonts w:hint="eastAsia" w:ascii="宋体" w:hAnsi="宋体" w:cs="Arial"/>
          <w:sz w:val="36"/>
          <w:szCs w:val="36"/>
          <w:lang w:val="en-US" w:eastAsia="zh-CN"/>
        </w:rPr>
        <w:t xml:space="preserve">章 </w:t>
      </w:r>
      <w:r>
        <w:rPr>
          <w:rFonts w:hint="eastAsia" w:ascii="宋体" w:hAnsi="宋体" w:eastAsia="宋体" w:cs="Arial"/>
          <w:sz w:val="36"/>
          <w:szCs w:val="36"/>
          <w:lang w:val="en-US" w:eastAsia="zh-CN"/>
        </w:rPr>
        <w:t>采购需求</w:t>
      </w:r>
      <w:bookmarkEnd w:id="287"/>
    </w:p>
    <w:p w14:paraId="198F92AF">
      <w:pPr>
        <w:keepNext w:val="0"/>
        <w:keepLines w:val="0"/>
        <w:widowControl w:val="0"/>
        <w:suppressLineNumbers w:val="0"/>
        <w:autoSpaceDE w:val="0"/>
        <w:autoSpaceDN w:val="0"/>
        <w:spacing w:before="0" w:beforeAutospacing="0" w:after="0" w:afterAutospacing="0" w:line="360" w:lineRule="auto"/>
        <w:ind w:left="0" w:right="0" w:firstLine="422" w:firstLineChars="200"/>
        <w:jc w:val="left"/>
        <w:rPr>
          <w:rFonts w:hint="eastAsia" w:ascii="宋体" w:hAnsi="宋体" w:eastAsia="宋体" w:cs="宋体"/>
          <w:b/>
          <w:bCs/>
          <w:kern w:val="2"/>
          <w:sz w:val="21"/>
          <w:szCs w:val="21"/>
          <w:lang w:val="en-US" w:eastAsia="zh-CN" w:bidi="ar"/>
        </w:rPr>
      </w:pPr>
      <w:r>
        <w:rPr>
          <w:rFonts w:hint="eastAsia" w:ascii="宋体" w:hAnsi="宋体" w:eastAsia="宋体" w:cs="宋体"/>
          <w:b/>
          <w:bCs/>
          <w:kern w:val="2"/>
          <w:sz w:val="21"/>
          <w:szCs w:val="21"/>
          <w:lang w:val="en-US" w:eastAsia="zh-CN" w:bidi="ar"/>
        </w:rPr>
        <w:t>一、项目概况</w:t>
      </w:r>
    </w:p>
    <w:p w14:paraId="2FCD90EB">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cs="Arial"/>
          <w:sz w:val="36"/>
          <w:szCs w:val="36"/>
          <w:lang w:val="en-US" w:eastAsia="zh-CN"/>
        </w:rPr>
      </w:pPr>
      <w:r>
        <w:rPr>
          <w:rFonts w:hint="eastAsia" w:ascii="宋体" w:hAnsi="宋体" w:eastAsia="宋体" w:cs="宋体"/>
          <w:lang w:val="en-US" w:eastAsia="zh-CN"/>
        </w:rPr>
        <w:t>本项目为</w:t>
      </w:r>
      <w:r>
        <w:rPr>
          <w:rFonts w:hint="eastAsia" w:ascii="宋体" w:hAnsi="宋体" w:cs="宋体"/>
          <w:lang w:val="en-US" w:eastAsia="zh-CN"/>
        </w:rPr>
        <w:t>2026-2027年阜充电充电桩维保及场站零星维修供应商库项目</w:t>
      </w:r>
      <w:r>
        <w:rPr>
          <w:rFonts w:hint="eastAsia" w:ascii="宋体" w:hAnsi="宋体" w:eastAsia="宋体" w:cs="宋体"/>
          <w:lang w:val="en-US" w:eastAsia="zh-CN"/>
        </w:rPr>
        <w:t>，服务范围覆盖阜阳市三区五县全域所有阜充电运营的充电场站，服务标的为采购人运营的全部新能源汽车</w:t>
      </w:r>
      <w:r>
        <w:rPr>
          <w:rFonts w:hint="eastAsia" w:ascii="宋体" w:hAnsi="宋体" w:cs="宋体"/>
          <w:lang w:val="en-US" w:eastAsia="zh-CN"/>
        </w:rPr>
        <w:t>场站及</w:t>
      </w:r>
      <w:r>
        <w:rPr>
          <w:rFonts w:hint="eastAsia" w:ascii="宋体" w:hAnsi="宋体" w:eastAsia="宋体" w:cs="宋体"/>
          <w:lang w:val="en-US" w:eastAsia="zh-CN"/>
        </w:rPr>
        <w:t>充电桩（含直流充电桩、交流充电桩），包含质保期外的充电桩维修、故障抢修、技术支持、预防性维护等服务。</w:t>
      </w:r>
    </w:p>
    <w:p w14:paraId="09A368C3">
      <w:pPr>
        <w:keepNext w:val="0"/>
        <w:keepLines w:val="0"/>
        <w:widowControl w:val="0"/>
        <w:suppressLineNumbers w:val="0"/>
        <w:autoSpaceDE w:val="0"/>
        <w:autoSpaceDN w:val="0"/>
        <w:spacing w:before="0" w:beforeAutospacing="0" w:after="0" w:afterAutospacing="0" w:line="360" w:lineRule="auto"/>
        <w:ind w:left="0" w:right="0" w:firstLine="422" w:firstLineChars="200"/>
        <w:jc w:val="left"/>
        <w:rPr>
          <w:rFonts w:hint="default" w:ascii="宋体" w:hAnsi="宋体" w:eastAsia="宋体" w:cs="宋体"/>
          <w:b/>
          <w:bCs/>
          <w:kern w:val="2"/>
          <w:sz w:val="21"/>
          <w:szCs w:val="21"/>
          <w:lang w:val="en-US" w:eastAsia="zh-CN" w:bidi="ar"/>
        </w:rPr>
      </w:pPr>
      <w:r>
        <w:rPr>
          <w:rFonts w:hint="default" w:ascii="宋体" w:hAnsi="宋体" w:eastAsia="宋体" w:cs="宋体"/>
          <w:b/>
          <w:bCs/>
          <w:kern w:val="2"/>
          <w:sz w:val="21"/>
          <w:szCs w:val="21"/>
          <w:lang w:val="en-US" w:eastAsia="zh-CN" w:bidi="ar"/>
        </w:rPr>
        <w:t>二、服务内容</w:t>
      </w:r>
    </w:p>
    <w:p w14:paraId="7BD50AC3">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lang w:val="en-US" w:eastAsia="zh-CN"/>
        </w:rPr>
      </w:pPr>
      <w:r>
        <w:rPr>
          <w:rFonts w:hint="eastAsia" w:ascii="宋体" w:hAnsi="宋体" w:cs="宋体"/>
          <w:lang w:val="en-US" w:eastAsia="zh-CN"/>
        </w:rPr>
        <w:t>1、</w:t>
      </w:r>
      <w:r>
        <w:rPr>
          <w:rFonts w:hint="default" w:ascii="宋体" w:hAnsi="宋体" w:eastAsia="宋体" w:cs="宋体"/>
          <w:lang w:val="en-US" w:eastAsia="zh-CN"/>
        </w:rPr>
        <w:t>故障维修服务：</w:t>
      </w:r>
      <w:r>
        <w:rPr>
          <w:rFonts w:hint="eastAsia" w:ascii="宋体" w:hAnsi="宋体" w:cs="宋体"/>
          <w:lang w:val="en-US" w:eastAsia="zh-CN"/>
        </w:rPr>
        <w:t>接到</w:t>
      </w:r>
      <w:r>
        <w:rPr>
          <w:rFonts w:hint="default" w:ascii="宋体" w:hAnsi="宋体" w:eastAsia="宋体" w:cs="宋体"/>
          <w:lang w:val="en-US" w:eastAsia="zh-CN"/>
        </w:rPr>
        <w:t>采购人派单后，对充电桩</w:t>
      </w:r>
      <w:r>
        <w:rPr>
          <w:rFonts w:hint="eastAsia" w:ascii="宋体" w:hAnsi="宋体" w:cs="宋体"/>
          <w:lang w:val="en-US" w:eastAsia="zh-CN"/>
        </w:rPr>
        <w:t>及场站</w:t>
      </w:r>
      <w:r>
        <w:rPr>
          <w:rFonts w:hint="default" w:ascii="宋体" w:hAnsi="宋体" w:eastAsia="宋体" w:cs="宋体"/>
          <w:lang w:val="en-US" w:eastAsia="zh-CN"/>
        </w:rPr>
        <w:t>的各类故障进行排查、维修、更换配件、调试，确保设备恢复正常运行</w:t>
      </w:r>
      <w:r>
        <w:rPr>
          <w:rFonts w:hint="eastAsia" w:ascii="宋体" w:hAnsi="宋体" w:cs="宋体"/>
          <w:lang w:val="en-US" w:eastAsia="zh-CN"/>
        </w:rPr>
        <w:t>，服务范围如下：</w:t>
      </w:r>
    </w:p>
    <w:p w14:paraId="50F4FBD1">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lang w:val="en-US" w:eastAsia="zh-CN"/>
        </w:rPr>
      </w:pPr>
      <w:r>
        <w:rPr>
          <w:rFonts w:hint="default" w:ascii="宋体" w:hAnsi="宋体" w:eastAsia="宋体" w:cs="宋体"/>
          <w:lang w:val="en-US" w:eastAsia="zh-CN"/>
        </w:rPr>
        <w:t>（1）充电桩设备维保服务：包含各类交直流充电桩、充电模块、控制器、通讯设备、接线线路、配电辅助设备的日常巡检、清洁养护、性能检测、故障排查、应急抢修、软件调试、紧固润滑、电气安全测试、隐患排查、维保记录归档等常规维保工作；</w:t>
      </w:r>
    </w:p>
    <w:p w14:paraId="07F26902">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lang w:val="en-US" w:eastAsia="zh-CN"/>
        </w:rPr>
      </w:pPr>
      <w:r>
        <w:rPr>
          <w:rFonts w:hint="default" w:ascii="宋体" w:hAnsi="宋体" w:eastAsia="宋体" w:cs="宋体"/>
          <w:lang w:val="en-US" w:eastAsia="zh-CN"/>
        </w:rPr>
        <w:t>（2）充电站零星维修：包含充电站配电设施、监控设备、照明系统、消防辅助设施、接地系统、充电配套附属设备的零星损坏维修、部件检修、局部改造修复、系统调试、设备基础轻微修整、站内小型防水补漏、场地零星整改等小型零星维修作业；</w:t>
      </w:r>
    </w:p>
    <w:p w14:paraId="2D9AC80D">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lang w:val="en-US" w:eastAsia="zh-CN"/>
        </w:rPr>
      </w:pPr>
      <w:r>
        <w:rPr>
          <w:rFonts w:hint="default" w:ascii="宋体" w:hAnsi="宋体" w:eastAsia="宋体" w:cs="宋体"/>
          <w:lang w:val="en-US" w:eastAsia="zh-CN"/>
        </w:rPr>
        <w:t>（3）</w:t>
      </w:r>
      <w:r>
        <w:rPr>
          <w:rFonts w:hint="eastAsia" w:ascii="宋体" w:hAnsi="宋体" w:cs="宋体"/>
          <w:lang w:val="en-US" w:eastAsia="zh-CN"/>
        </w:rPr>
        <w:t>采购人</w:t>
      </w:r>
      <w:r>
        <w:rPr>
          <w:rFonts w:hint="default" w:ascii="宋体" w:hAnsi="宋体" w:eastAsia="宋体" w:cs="宋体"/>
          <w:lang w:val="en-US" w:eastAsia="zh-CN"/>
        </w:rPr>
        <w:t>临时指派的、与充电站正常运营相关的其他小型维修、整改、养护服务（以双方确认的工单为准）。</w:t>
      </w:r>
    </w:p>
    <w:p w14:paraId="026436FE">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lang w:val="en-US" w:eastAsia="zh-CN"/>
        </w:rPr>
      </w:pPr>
      <w:r>
        <w:rPr>
          <w:rFonts w:hint="eastAsia" w:ascii="宋体" w:hAnsi="宋体" w:cs="宋体"/>
          <w:lang w:val="en-US" w:eastAsia="zh-CN"/>
        </w:rPr>
        <w:t>2、</w:t>
      </w:r>
      <w:r>
        <w:rPr>
          <w:rFonts w:hint="default" w:ascii="宋体" w:hAnsi="宋体" w:eastAsia="宋体" w:cs="宋体"/>
          <w:lang w:val="en-US" w:eastAsia="zh-CN"/>
        </w:rPr>
        <w:t>应急抢修服务：针对节假日、台风等突发批量故障场景，提供 7*24 小时应急抢修服务；</w:t>
      </w:r>
    </w:p>
    <w:p w14:paraId="308DF3A3">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lang w:val="en-US" w:eastAsia="zh-CN"/>
        </w:rPr>
      </w:pPr>
      <w:r>
        <w:rPr>
          <w:rFonts w:hint="eastAsia" w:ascii="宋体" w:hAnsi="宋体" w:cs="宋体"/>
          <w:lang w:val="en-US" w:eastAsia="zh-CN"/>
        </w:rPr>
        <w:t>3、</w:t>
      </w:r>
      <w:r>
        <w:rPr>
          <w:rFonts w:hint="default" w:ascii="宋体" w:hAnsi="宋体" w:eastAsia="宋体" w:cs="宋体"/>
          <w:lang w:val="en-US" w:eastAsia="zh-CN"/>
        </w:rPr>
        <w:t>技术支持服务：为采购人提供充电桩技术咨询、培训、升级改造技术支持等服务；</w:t>
      </w:r>
    </w:p>
    <w:p w14:paraId="2A76E8F7">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lang w:val="en-US" w:eastAsia="zh-CN"/>
        </w:rPr>
      </w:pPr>
      <w:r>
        <w:rPr>
          <w:rFonts w:hint="eastAsia" w:ascii="宋体" w:hAnsi="宋体" w:cs="宋体"/>
          <w:lang w:val="en-US" w:eastAsia="zh-CN"/>
        </w:rPr>
        <w:t>4、</w:t>
      </w:r>
      <w:r>
        <w:rPr>
          <w:rFonts w:hint="default" w:ascii="宋体" w:hAnsi="宋体" w:eastAsia="宋体" w:cs="宋体"/>
          <w:lang w:val="en-US" w:eastAsia="zh-CN"/>
        </w:rPr>
        <w:t>台账管理服务：建立完善的维修台账，按月向采购人提交服务报告、故障分析报告、维修日志等资料；</w:t>
      </w:r>
    </w:p>
    <w:p w14:paraId="6EEDA47B">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lang w:val="en-US" w:eastAsia="zh-CN"/>
        </w:rPr>
      </w:pPr>
      <w:r>
        <w:rPr>
          <w:rFonts w:hint="eastAsia" w:ascii="宋体" w:hAnsi="宋体" w:cs="宋体"/>
          <w:lang w:val="en-US" w:eastAsia="zh-CN"/>
        </w:rPr>
        <w:t>5、</w:t>
      </w:r>
      <w:r>
        <w:rPr>
          <w:rFonts w:hint="default" w:ascii="宋体" w:hAnsi="宋体" w:eastAsia="宋体" w:cs="宋体"/>
          <w:lang w:val="en-US" w:eastAsia="zh-CN"/>
        </w:rPr>
        <w:t>其他相关服务：配合采购人完成场站验收、专项检查、客户投诉处理等相关工作。</w:t>
      </w:r>
    </w:p>
    <w:p w14:paraId="6DCC7DAC">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lang w:val="en-US" w:eastAsia="zh-CN"/>
        </w:rPr>
      </w:pPr>
      <w:r>
        <w:rPr>
          <w:rFonts w:hint="eastAsia" w:ascii="宋体" w:hAnsi="宋体" w:cs="宋体"/>
          <w:lang w:val="en-US" w:eastAsia="zh-CN"/>
        </w:rPr>
        <w:t>服务内容详见维修服务清单。如下：</w:t>
      </w:r>
    </w:p>
    <w:tbl>
      <w:tblPr>
        <w:tblStyle w:val="19"/>
        <w:tblW w:w="107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9"/>
        <w:gridCol w:w="1277"/>
        <w:gridCol w:w="1970"/>
        <w:gridCol w:w="700"/>
        <w:gridCol w:w="1970"/>
        <w:gridCol w:w="739"/>
        <w:gridCol w:w="551"/>
        <w:gridCol w:w="1042"/>
        <w:gridCol w:w="1042"/>
        <w:gridCol w:w="1041"/>
      </w:tblGrid>
      <w:tr w14:paraId="1019D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439" w:type="dxa"/>
            <w:tcBorders>
              <w:top w:val="single" w:color="000000" w:sz="4" w:space="0"/>
              <w:left w:val="single" w:color="000000" w:sz="4" w:space="0"/>
              <w:bottom w:val="single" w:color="000000" w:sz="4" w:space="0"/>
              <w:right w:val="single" w:color="000000" w:sz="4" w:space="0"/>
            </w:tcBorders>
            <w:shd w:val="clear" w:color="auto" w:fill="5B9BD5"/>
            <w:vAlign w:val="center"/>
          </w:tcPr>
          <w:p w14:paraId="6699C9F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序号</w:t>
            </w:r>
          </w:p>
        </w:tc>
        <w:tc>
          <w:tcPr>
            <w:tcW w:w="1277" w:type="dxa"/>
            <w:tcBorders>
              <w:top w:val="single" w:color="000000" w:sz="4" w:space="0"/>
              <w:left w:val="single" w:color="000000" w:sz="4" w:space="0"/>
              <w:bottom w:val="single" w:color="000000" w:sz="4" w:space="0"/>
              <w:right w:val="single" w:color="000000" w:sz="4" w:space="0"/>
            </w:tcBorders>
            <w:shd w:val="clear" w:color="auto" w:fill="5B9BD5"/>
            <w:vAlign w:val="center"/>
          </w:tcPr>
          <w:p w14:paraId="7622617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名称</w:t>
            </w:r>
          </w:p>
        </w:tc>
        <w:tc>
          <w:tcPr>
            <w:tcW w:w="1970" w:type="dxa"/>
            <w:tcBorders>
              <w:top w:val="single" w:color="000000" w:sz="4" w:space="0"/>
              <w:left w:val="single" w:color="000000" w:sz="4" w:space="0"/>
              <w:bottom w:val="single" w:color="000000" w:sz="4" w:space="0"/>
              <w:right w:val="single" w:color="000000" w:sz="4" w:space="0"/>
            </w:tcBorders>
            <w:shd w:val="clear" w:color="auto" w:fill="5B9BD5"/>
            <w:vAlign w:val="center"/>
          </w:tcPr>
          <w:p w14:paraId="652C159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型号</w:t>
            </w:r>
          </w:p>
        </w:tc>
        <w:tc>
          <w:tcPr>
            <w:tcW w:w="700" w:type="dxa"/>
            <w:tcBorders>
              <w:top w:val="single" w:color="000000" w:sz="4" w:space="0"/>
              <w:left w:val="single" w:color="000000" w:sz="4" w:space="0"/>
              <w:bottom w:val="single" w:color="000000" w:sz="4" w:space="0"/>
              <w:right w:val="single" w:color="000000" w:sz="4" w:space="0"/>
            </w:tcBorders>
            <w:shd w:val="clear" w:color="auto" w:fill="5B9BD5"/>
            <w:vAlign w:val="center"/>
          </w:tcPr>
          <w:p w14:paraId="5BDC96B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单位</w:t>
            </w:r>
          </w:p>
        </w:tc>
        <w:tc>
          <w:tcPr>
            <w:tcW w:w="1970" w:type="dxa"/>
            <w:tcBorders>
              <w:top w:val="single" w:color="000000" w:sz="4" w:space="0"/>
              <w:left w:val="single" w:color="000000" w:sz="4" w:space="0"/>
              <w:bottom w:val="single" w:color="000000" w:sz="4" w:space="0"/>
              <w:right w:val="single" w:color="000000" w:sz="4" w:space="0"/>
            </w:tcBorders>
            <w:shd w:val="clear" w:color="auto" w:fill="5B9BD5"/>
            <w:vAlign w:val="center"/>
          </w:tcPr>
          <w:p w14:paraId="5039525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品牌</w:t>
            </w:r>
          </w:p>
        </w:tc>
        <w:tc>
          <w:tcPr>
            <w:tcW w:w="739" w:type="dxa"/>
            <w:tcBorders>
              <w:top w:val="single" w:color="000000" w:sz="4" w:space="0"/>
              <w:left w:val="single" w:color="000000" w:sz="4" w:space="0"/>
              <w:bottom w:val="single" w:color="000000" w:sz="4" w:space="0"/>
              <w:right w:val="single" w:color="000000" w:sz="4" w:space="0"/>
            </w:tcBorders>
            <w:shd w:val="clear" w:color="auto" w:fill="5B9BD5"/>
            <w:vAlign w:val="center"/>
          </w:tcPr>
          <w:p w14:paraId="79A5DCC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维保方法</w:t>
            </w:r>
          </w:p>
        </w:tc>
        <w:tc>
          <w:tcPr>
            <w:tcW w:w="551" w:type="dxa"/>
            <w:tcBorders>
              <w:top w:val="single" w:color="000000" w:sz="4" w:space="0"/>
              <w:left w:val="single" w:color="000000" w:sz="4" w:space="0"/>
              <w:bottom w:val="single" w:color="000000" w:sz="4" w:space="0"/>
              <w:right w:val="single" w:color="000000" w:sz="4" w:space="0"/>
            </w:tcBorders>
            <w:shd w:val="clear" w:color="auto" w:fill="5B9BD5"/>
            <w:vAlign w:val="center"/>
          </w:tcPr>
          <w:p w14:paraId="37DFF3E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工程量</w:t>
            </w:r>
          </w:p>
        </w:tc>
        <w:tc>
          <w:tcPr>
            <w:tcW w:w="1042" w:type="dxa"/>
            <w:tcBorders>
              <w:top w:val="single" w:color="000000" w:sz="4" w:space="0"/>
              <w:left w:val="single" w:color="000000" w:sz="4" w:space="0"/>
              <w:bottom w:val="single" w:color="000000" w:sz="4" w:space="0"/>
              <w:right w:val="single" w:color="000000" w:sz="4" w:space="0"/>
            </w:tcBorders>
            <w:shd w:val="clear" w:color="auto" w:fill="5B9BD5"/>
            <w:vAlign w:val="center"/>
          </w:tcPr>
          <w:p w14:paraId="5B01134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color w:val="FFFFFF"/>
                <w:kern w:val="0"/>
                <w:sz w:val="18"/>
                <w:szCs w:val="18"/>
                <w:u w:val="none"/>
                <w:lang w:val="en-US" w:eastAsia="zh-CN" w:bidi="ar"/>
              </w:rPr>
            </w:pPr>
            <w:r>
              <w:rPr>
                <w:rFonts w:hint="eastAsia" w:ascii="宋体" w:hAnsi="宋体" w:eastAsia="宋体" w:cs="宋体"/>
                <w:b/>
                <w:bCs/>
                <w:i w:val="0"/>
                <w:iCs w:val="0"/>
                <w:color w:val="FFFFFF"/>
                <w:kern w:val="0"/>
                <w:sz w:val="18"/>
                <w:szCs w:val="18"/>
                <w:u w:val="none"/>
                <w:lang w:val="en-US" w:eastAsia="zh-CN" w:bidi="ar"/>
              </w:rPr>
              <w:t>控制</w:t>
            </w:r>
          </w:p>
          <w:p w14:paraId="112AF8B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color w:val="FFFFFF"/>
                <w:kern w:val="0"/>
                <w:sz w:val="18"/>
                <w:szCs w:val="18"/>
                <w:u w:val="none"/>
                <w:lang w:val="en-US" w:eastAsia="zh-CN" w:bidi="ar"/>
              </w:rPr>
            </w:pPr>
            <w:r>
              <w:rPr>
                <w:rFonts w:hint="eastAsia" w:ascii="宋体" w:hAnsi="宋体" w:eastAsia="宋体" w:cs="宋体"/>
                <w:b/>
                <w:bCs/>
                <w:i w:val="0"/>
                <w:iCs w:val="0"/>
                <w:color w:val="FFFFFF"/>
                <w:kern w:val="0"/>
                <w:sz w:val="18"/>
                <w:szCs w:val="18"/>
                <w:u w:val="none"/>
                <w:lang w:val="en-US" w:eastAsia="zh-CN" w:bidi="ar"/>
              </w:rPr>
              <w:t>限价</w:t>
            </w:r>
          </w:p>
          <w:p w14:paraId="09EB53A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（元）</w:t>
            </w:r>
          </w:p>
        </w:tc>
        <w:tc>
          <w:tcPr>
            <w:tcW w:w="1042" w:type="dxa"/>
            <w:tcBorders>
              <w:top w:val="single" w:color="000000" w:sz="4" w:space="0"/>
              <w:left w:val="single" w:color="000000" w:sz="4" w:space="0"/>
              <w:bottom w:val="single" w:color="000000" w:sz="4" w:space="0"/>
              <w:right w:val="single" w:color="000000" w:sz="4" w:space="0"/>
            </w:tcBorders>
            <w:shd w:val="clear" w:color="auto" w:fill="5B9BD5"/>
            <w:vAlign w:val="center"/>
          </w:tcPr>
          <w:p w14:paraId="6825803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color w:val="FFFFFF"/>
                <w:kern w:val="0"/>
                <w:sz w:val="18"/>
                <w:szCs w:val="18"/>
                <w:u w:val="none"/>
                <w:lang w:val="en-US" w:eastAsia="zh-CN" w:bidi="ar"/>
              </w:rPr>
            </w:pPr>
            <w:r>
              <w:rPr>
                <w:rFonts w:hint="eastAsia" w:ascii="宋体" w:hAnsi="宋体" w:eastAsia="宋体" w:cs="宋体"/>
                <w:b/>
                <w:bCs/>
                <w:i w:val="0"/>
                <w:iCs w:val="0"/>
                <w:color w:val="FFFFFF"/>
                <w:kern w:val="0"/>
                <w:sz w:val="18"/>
                <w:szCs w:val="18"/>
                <w:u w:val="none"/>
                <w:lang w:val="en-US" w:eastAsia="zh-CN" w:bidi="ar"/>
              </w:rPr>
              <w:t>合价</w:t>
            </w:r>
          </w:p>
          <w:p w14:paraId="7CCC537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color w:val="FFFFFF"/>
                <w:kern w:val="0"/>
                <w:sz w:val="18"/>
                <w:szCs w:val="18"/>
                <w:u w:val="none"/>
                <w:lang w:val="en-US" w:eastAsia="zh-CN" w:bidi="ar"/>
              </w:rPr>
            </w:pPr>
            <w:r>
              <w:rPr>
                <w:rFonts w:hint="eastAsia" w:ascii="宋体" w:hAnsi="宋体" w:eastAsia="宋体" w:cs="宋体"/>
                <w:b/>
                <w:bCs/>
                <w:i w:val="0"/>
                <w:iCs w:val="0"/>
                <w:color w:val="FFFFFF"/>
                <w:kern w:val="0"/>
                <w:sz w:val="18"/>
                <w:szCs w:val="18"/>
                <w:u w:val="none"/>
                <w:lang w:val="en-US" w:eastAsia="zh-CN" w:bidi="ar"/>
              </w:rPr>
              <w:t>（元）</w:t>
            </w:r>
          </w:p>
        </w:tc>
        <w:tc>
          <w:tcPr>
            <w:tcW w:w="1041" w:type="dxa"/>
            <w:tcBorders>
              <w:top w:val="single" w:color="000000" w:sz="4" w:space="0"/>
              <w:left w:val="single" w:color="000000" w:sz="4" w:space="0"/>
              <w:bottom w:val="single" w:color="000000" w:sz="4" w:space="0"/>
              <w:right w:val="single" w:color="000000" w:sz="4" w:space="0"/>
            </w:tcBorders>
            <w:shd w:val="clear" w:color="auto" w:fill="5B9BD5"/>
            <w:vAlign w:val="center"/>
          </w:tcPr>
          <w:p w14:paraId="44F506D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质保期</w:t>
            </w:r>
          </w:p>
        </w:tc>
      </w:tr>
      <w:tr w14:paraId="26B6B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BE1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8A29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直流充电模块</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546C2">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20KW</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A355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88286">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英飞源/特锐德/星星/其他</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F3B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维修</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3C6E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5B102">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7D5B">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34B5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质保6月</w:t>
            </w:r>
          </w:p>
        </w:tc>
      </w:tr>
      <w:tr w14:paraId="2792F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0122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8F36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直流充电模块</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86B4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30KW</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F13E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19FA5">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英飞源/特锐德/星星/其他</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E242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维修</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DC30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021A">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83DF4">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6909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质保6月</w:t>
            </w:r>
          </w:p>
        </w:tc>
      </w:tr>
      <w:tr w14:paraId="4AB66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C52F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554F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直流充电模块</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1D4E2">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40KW</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9D51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5E9C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英飞源/特锐德/星星/其他</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F071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维修</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3830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A8470">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E1690">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862</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E175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质保6月</w:t>
            </w:r>
          </w:p>
        </w:tc>
      </w:tr>
      <w:tr w14:paraId="2A8BC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1DFC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D2D7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直流充电模块</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7867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20KW</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2F6D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AEC1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英飞源/其他</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A732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CD9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4A4CA">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850AE">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58000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01FA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15262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F809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F38A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直流充电模块</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6B64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30KW</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1CCA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130E5">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英飞源/其他</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1560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0640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1DD5">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318AC">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50FD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6AC54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32D6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C45C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直流充电模块</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B7706">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40KW</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DD04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C81D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英飞源/其他</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DB99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31A2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64B0">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4750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9D24D">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4750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17F1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43BCC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96CA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0E9F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计费控制单元</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FCF6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DCA-600-V21</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E9B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310E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许继/其他品牌</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C620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BA7B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18AE5">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2750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D707E">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B87A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04E01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EF02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39C8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直流枪头</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488F5">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750V/125A</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B73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A0CF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永贵/菲尼克斯/沃尔</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D897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FE36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58451">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08CA3">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500C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35E88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A425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72E85">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直流枪头</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B1AD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750V/250A</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4E38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3C6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永贵/菲尼克斯/沃尔</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026D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2433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2C94C">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CAD40">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3625</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D273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3E802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1D2F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CFCD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直流枪线</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02365">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750V/125A/5米</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C652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AD86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永贵/菲尼克斯/沃尔</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4017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6C1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7A57C">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49FEE">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9AEC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768F1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72CB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2B18C">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直流枪线</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1D06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750V/250A/5米</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276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9487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永贵/菲尼克斯/沃尔</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5766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8412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FD30A">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C9A9F">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46A8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01B70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19E8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42BA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交流枪线</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9C88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32A</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926F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7B5B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F3C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1D68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C3BD2">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56796">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2250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9F5A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0C945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C9C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08B72">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BEE3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7寸</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5F3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87C0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新瑞达/迪文</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AD89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维修</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7637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60F9F">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D202F">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2FD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质保6月</w:t>
            </w:r>
          </w:p>
        </w:tc>
      </w:tr>
      <w:tr w14:paraId="38BF3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83EF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D086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9B47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8寸</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939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53276">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新瑞达/迪文</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0B37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维修</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5031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4FE65">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5200E">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392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质保6月</w:t>
            </w:r>
          </w:p>
        </w:tc>
      </w:tr>
      <w:tr w14:paraId="7678B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785A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6C6A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7A08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7寸</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A04E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A425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新瑞达/迪文</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49AF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84BD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FE2C4">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14DA0">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8FAD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3598C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9CA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C582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F018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8寸</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BDF7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52C64">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新瑞达/迪文</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88D4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8264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040B4">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5E9F">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D87F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4229A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62DC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F8D4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尾插端子</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0BAB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2米</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FE47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2F296">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定制</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1CCF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AB72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743FC">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207</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64F70">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207</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841F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74366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02C6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2419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急停按钮</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21B2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红色蘑菇自复</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5CD6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A123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4FD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E657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C9B57">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B084C">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B36B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6CB2D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963F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3056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辅助电源</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FF2D2">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12V/24V</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5848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E7685">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明纬/正泰</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2CD1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8C8E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CC795">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8DD2F">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45AE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46D4A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B1E3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56BE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直流熔断器</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F04F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DC1000V/50KA/250A</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C23E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B083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中熔/正泰</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336A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9B2C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F0962">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E9090">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ED5E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334C7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23C4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AF75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直流断路器</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28D74">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250A 4P</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CED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AE6C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正泰/德力西/人民等</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9561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58F3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EFE9F">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9670D">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2553</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E02A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3FA73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928D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CAA1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直流接触器</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FB44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200A 1000V-36V</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B658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30F1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宅佣/泰科/宏发等</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637C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EA1C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0EC49">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96F08">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475</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7AB4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3CDBD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FAF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DDF46">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交流接触器</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C587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NC2-265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5670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EF2D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正泰/德力西/人民等</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317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25D0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87167">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2112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7893D">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4224</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8F69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3F939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EB9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E683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开关电源</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B6864">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LRS-150-24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4E30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6346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明纬/正泰</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3C16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0093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8C272">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200BA">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47CF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6ADB5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0FC1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C5B7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开关电源</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B7C5">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LRS-150-12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ECD6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2576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明纬/正泰</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94AF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A674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237AC">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FD794">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2C45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41730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3D90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D8674">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单枪控制板</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ADEF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QGKZD-3N</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92B2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5B7D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通合/乾谷/特来电等</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8860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CF67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323CB">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2480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4E4FD">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4960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BC54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399EE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6244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E58C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单枪控制板</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745E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QGKZD-3N</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054D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FB3F5">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通合/乾谷/优力特等</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3D3C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维修</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E18D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A9E70">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48BE9">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7FB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质保6月</w:t>
            </w:r>
          </w:p>
        </w:tc>
      </w:tr>
      <w:tr w14:paraId="1C49C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38B7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49FD5">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双枪控制板</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82BC6">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THCDKZQ-D2-2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93A7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B66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通合/乾谷/优力特等</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A49C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CA45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0B31E">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31D64">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EE72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65E37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2246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3BA0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双枪控制板</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E40C5">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THCDKZQ-D2-2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ECE8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85D6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通合/乾谷/优力特等</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8B4F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维修</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5906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E862D">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4615F">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BFDE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质保6月</w:t>
            </w:r>
          </w:p>
        </w:tc>
      </w:tr>
      <w:tr w14:paraId="1CCFE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BC33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DD42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辅助板</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6BDA5">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60CC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2551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特来电/科大智能等</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BF1B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630F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C16F0">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B41B3">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1417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5C502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64E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A7622">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枪座</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EA5D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3866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EA66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科大/茂辰/星星</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0D5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D1CA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3A01E">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105A6">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1CF7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15E75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B79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AF79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绝缘检测模块</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EE67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SCMD-IMD1</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864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70212">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共元/正泰/优力特</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8E0D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5415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29521">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AD4AA">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936</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6C7B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0B261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A14B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ADA82">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直流电表</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D5FE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DJSF1778-S</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3A3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3260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亚达/科达等</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40C5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8EB3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DC1CB">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5E293">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91DC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7AF3A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BFD5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D1EE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交流桩维修</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2CDE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E5DB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D01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FE73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维修</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C701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9A28D">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43FF7">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20A81">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5411E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3DC9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DA83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交流桩安装</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85C5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0969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D8785">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8BE0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CF9B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B2302">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14D99">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2D0D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448E1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3E97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FBEA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风扇</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E927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SD120838BF/12V/24V</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FFE8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83E6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生久/源莱达等</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56A6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维修</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CFF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F5A6">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F0FEF">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F307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质保6月</w:t>
            </w:r>
          </w:p>
        </w:tc>
      </w:tr>
      <w:tr w14:paraId="6570F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9261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25194">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风扇</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6FB35">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SD120838BF/12V/24V</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27D2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1B05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生久/源莱达等</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18F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1FA9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ECFB8">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44D58">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C779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4197B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ABE0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1B9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交流物联网卡</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154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11D1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06DD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移动/电信/联通</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8DC6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7867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66BAF">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AB05C">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C98E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019BC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B67F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5B64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直流物联网卡</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3D1B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D146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62C4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移动/电信/联通</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C057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3142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0810B">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A81D">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D416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191A3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F01C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E285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直流桩维修</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3163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D718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F2BE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87F8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维修</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5C20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6497E">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A205">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6DCA0">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5398B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8623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41B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慢充移桩</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05A1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BA51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DC19C">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4BD0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移桩</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02D1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8894">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38A7A">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1750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8BECC">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5C5BD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7E28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DBC95">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慢充固定桩体</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DD754">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9886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A5B24">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E3AD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固定</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396C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D0AB7">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16DAF">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1220B">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56887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FD10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9F54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快充固定桩体</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174D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9BE4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7B70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961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固定</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21F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DE551">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4CF69">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6250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5DB61">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0ABE2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C987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6D5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低压柜塑壳漏保</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564D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RDM1L-3P-250A</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CFD2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E5D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人民/正泰/德力西等</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CA75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8BC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6A8BE">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843</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0D02C">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1686</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9353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307D5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4EC1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D1582">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阻燃型防火泥</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EDA3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国标</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EA16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8F7A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B45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A15E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B2725">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31C34">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548</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D9BD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5B5CF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90D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514C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直流电流表换新</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ED8D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DCM3366D-J2 1级 DC1000V</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A9AE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2B58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人民/正泰/德力西等</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C3E9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D25D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7E41F">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687</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5F9AD">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687</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C8F1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57490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ADC6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0AE85">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峰谷平电表</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56F7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三相四线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6F78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129B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人民/正泰/德力西等</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2B4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7815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32327">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1470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1AD66">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2940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F554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1CC1A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0A54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4A23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主机机械锁</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BD94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9D1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F20DC">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D055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A502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87B51">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187</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C04EB">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374</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560F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59C9A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A4E6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B61FC">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浪涌保护器</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55E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RMS40-2P</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E059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7B8A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人民/正泰/德力西等</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B26F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993B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74BB1">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5BADE">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655</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CA75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49EC3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95F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9C794">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防尘棉更换</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08DB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15*75*80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40E6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11C8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949F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4258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C2993">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C3D82">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808FB">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4E86B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524C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3369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枪线线缆保护套</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D4C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防阻燃</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B79F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1DE84">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B4CF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8048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2BA9">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187</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06BE4">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935</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D5864">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15BFB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3DC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CDF2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交流4G模块</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6F696">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6FB3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FCB32">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派诺/英飞源等</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DC38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9064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25EBD">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B727F">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1357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040C3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C340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1A04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接地整改</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07E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7C8B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处</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DF3AC">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9801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维修</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C711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E79C3">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56874">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076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质保6月</w:t>
            </w:r>
          </w:p>
        </w:tc>
      </w:tr>
      <w:tr w14:paraId="4A436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CD79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7244C">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交流主板</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174E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D66F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ABA1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派诺/英飞源等</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AFF4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FF7B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AD79A">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1278">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7280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89FD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67B29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BE6F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D879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交流背板</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1EA8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813E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1B32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派诺/英飞源等</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1BC1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2E91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43EC8">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586AA">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0DF7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5BAE9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6D30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1000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PDU</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6A8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7BD4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679BC">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英飞源等</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FEF8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5183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6F23C">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7B966">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21600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7D9E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60955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51F5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45BB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交流立柱</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E1D3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FE0F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C3EC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01D9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C551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6A0DE">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425B9">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904A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5A2F0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3F7A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F9F7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监控模块</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CBBF6">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D881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2B02">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IMMU2/IMSU-D</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E98C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5D77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8B066">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356E7">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A026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0987F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2659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2B04">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系统用路由器</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417B6">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A7A7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9BA0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英飞源/其他</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C367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4ABE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DBD1A">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FBDAE">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4A8A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5AD0B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230A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1AAA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空开</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ADC3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C63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C534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5018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人民/正泰/德力西等</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E7F7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6253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3A88D">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0E7EA">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4EFE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46F5C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EF56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E566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直流外壳修复</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747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30AF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743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英飞源/其他</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1BCC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维修</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D8BC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6130D">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46C0A">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0402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质保1年</w:t>
            </w:r>
          </w:p>
        </w:tc>
      </w:tr>
      <w:tr w14:paraId="3FF67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FBF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746C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道闸故障维修</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03E9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2785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46CC4">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3B45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维修</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BF91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EB4A6">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C3CBB">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DBA1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质保6月</w:t>
            </w:r>
          </w:p>
        </w:tc>
      </w:tr>
      <w:tr w14:paraId="5C952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B068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3E05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线缆</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F200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2.5²铜线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7DD5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1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AE662">
            <w:pPr>
              <w:keepNext/>
              <w:keepLines w:val="0"/>
              <w:suppressLineNumbers w:val="0"/>
              <w:snapToGrid w:val="0"/>
              <w:spacing w:before="0" w:beforeAutospacing="0" w:after="0" w:afterAutospacing="0"/>
              <w:ind w:left="0" w:leftChars="0" w:right="0" w:rightChars="0" w:firstLine="0" w:firstLineChars="0"/>
              <w:jc w:val="left"/>
              <w:rPr>
                <w:rFonts w:hint="eastAsia" w:ascii="宋体" w:hAnsi="宋体" w:eastAsia="宋体" w:cs="宋体"/>
                <w:i w:val="0"/>
                <w:iCs w:val="0"/>
                <w:color w:val="000000"/>
                <w:sz w:val="18"/>
                <w:szCs w:val="18"/>
                <w:u w:val="none"/>
              </w:rPr>
            </w:pP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C749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02DF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D0826">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DB798">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279.5</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5A686">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395EE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E81E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545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线缆</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2517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6²铜线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B4F3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1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6CCD4">
            <w:pPr>
              <w:keepNext/>
              <w:keepLines w:val="0"/>
              <w:suppressLineNumbers w:val="0"/>
              <w:snapToGrid w:val="0"/>
              <w:spacing w:before="0" w:beforeAutospacing="0" w:after="0" w:afterAutospacing="0"/>
              <w:ind w:left="0" w:leftChars="0" w:right="0" w:rightChars="0" w:firstLine="0" w:firstLineChars="0"/>
              <w:jc w:val="left"/>
              <w:rPr>
                <w:rFonts w:hint="eastAsia" w:ascii="宋体" w:hAnsi="宋体" w:eastAsia="宋体" w:cs="宋体"/>
                <w:i w:val="0"/>
                <w:iCs w:val="0"/>
                <w:color w:val="000000"/>
                <w:sz w:val="18"/>
                <w:szCs w:val="18"/>
                <w:u w:val="none"/>
              </w:rPr>
            </w:pP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C49C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02CB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213DF">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677B1">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1074.2</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37F70">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313FC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2A86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76E14">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线缆</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70D16">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16²铜线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2187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1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1D904">
            <w:pPr>
              <w:keepNext/>
              <w:keepLines w:val="0"/>
              <w:suppressLineNumbers w:val="0"/>
              <w:snapToGrid w:val="0"/>
              <w:spacing w:before="0" w:beforeAutospacing="0" w:after="0" w:afterAutospacing="0"/>
              <w:ind w:left="0" w:leftChars="0" w:right="0" w:rightChars="0" w:firstLine="0" w:firstLineChars="0"/>
              <w:jc w:val="left"/>
              <w:rPr>
                <w:rFonts w:hint="eastAsia" w:ascii="宋体" w:hAnsi="宋体" w:eastAsia="宋体" w:cs="宋体"/>
                <w:i w:val="0"/>
                <w:iCs w:val="0"/>
                <w:color w:val="000000"/>
                <w:sz w:val="18"/>
                <w:szCs w:val="18"/>
                <w:u w:val="none"/>
              </w:rPr>
            </w:pP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7811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DAD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0B987">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5BF9C">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2437.5</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4FEDD">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708CD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D23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620E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线缆</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CEC35">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35²铜线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1590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1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A956F">
            <w:pPr>
              <w:keepNext/>
              <w:keepLines w:val="0"/>
              <w:suppressLineNumbers w:val="0"/>
              <w:snapToGrid w:val="0"/>
              <w:spacing w:before="0" w:beforeAutospacing="0" w:after="0" w:afterAutospacing="0"/>
              <w:ind w:left="0" w:leftChars="0" w:right="0" w:rightChars="0" w:firstLine="0" w:firstLineChars="0"/>
              <w:jc w:val="left"/>
              <w:rPr>
                <w:rFonts w:hint="eastAsia" w:ascii="宋体" w:hAnsi="宋体" w:eastAsia="宋体" w:cs="宋体"/>
                <w:i w:val="0"/>
                <w:iCs w:val="0"/>
                <w:color w:val="000000"/>
                <w:sz w:val="18"/>
                <w:szCs w:val="18"/>
                <w:u w:val="none"/>
              </w:rPr>
            </w:pP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5293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69F4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58773">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C47A2">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6375</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F8DBD">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109E8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524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16D6">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7FB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400×300mm</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31FC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48428">
            <w:pPr>
              <w:keepNext/>
              <w:keepLines w:val="0"/>
              <w:suppressLineNumbers w:val="0"/>
              <w:snapToGrid w:val="0"/>
              <w:spacing w:before="0" w:beforeAutospacing="0" w:after="0" w:afterAutospacing="0"/>
              <w:ind w:left="0" w:leftChars="0" w:right="0" w:rightChars="0" w:firstLine="0" w:firstLineChars="0"/>
              <w:jc w:val="left"/>
              <w:rPr>
                <w:rFonts w:hint="eastAsia" w:ascii="宋体" w:hAnsi="宋体" w:eastAsia="宋体" w:cs="宋体"/>
                <w:i w:val="0"/>
                <w:iCs w:val="0"/>
                <w:color w:val="000000"/>
                <w:sz w:val="18"/>
                <w:szCs w:val="18"/>
                <w:u w:val="none"/>
              </w:rPr>
            </w:pP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6717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E720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AC39C">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306</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76C97">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8874</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CCBFF">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25585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2D34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1E3A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车位阻挡器</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50286">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长度2000mm，高300mm，混凝土灌注</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2A61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59723">
            <w:pPr>
              <w:keepNext/>
              <w:keepLines w:val="0"/>
              <w:suppressLineNumbers w:val="0"/>
              <w:snapToGrid w:val="0"/>
              <w:spacing w:before="0" w:beforeAutospacing="0" w:after="0" w:afterAutospacing="0"/>
              <w:ind w:left="0" w:leftChars="0" w:right="0" w:rightChars="0" w:firstLine="0" w:firstLineChars="0"/>
              <w:jc w:val="left"/>
              <w:rPr>
                <w:rFonts w:hint="eastAsia" w:ascii="宋体" w:hAnsi="宋体" w:eastAsia="宋体" w:cs="宋体"/>
                <w:i w:val="0"/>
                <w:iCs w:val="0"/>
                <w:color w:val="000000"/>
                <w:sz w:val="18"/>
                <w:szCs w:val="18"/>
                <w:u w:val="none"/>
              </w:rPr>
            </w:pP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5689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3D68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96167">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56A13">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12750</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2D353">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64091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13EF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DC67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阻车立柱</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61EC4">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冷轧钢管11.4mm×75mm×2mm，色黑漆贴黄色反光膜，壁内浇灌混凝土，预埋20cm</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510C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A0634">
            <w:pPr>
              <w:keepNext/>
              <w:keepLines w:val="0"/>
              <w:suppressLineNumbers w:val="0"/>
              <w:snapToGrid w:val="0"/>
              <w:spacing w:before="0" w:beforeAutospacing="0" w:after="0" w:afterAutospacing="0"/>
              <w:ind w:left="0" w:leftChars="0" w:right="0" w:rightChars="0" w:firstLine="0" w:firstLineChars="0"/>
              <w:jc w:val="left"/>
              <w:rPr>
                <w:rFonts w:hint="eastAsia" w:ascii="宋体" w:hAnsi="宋体" w:eastAsia="宋体" w:cs="宋体"/>
                <w:i w:val="0"/>
                <w:iCs w:val="0"/>
                <w:color w:val="000000"/>
                <w:sz w:val="18"/>
                <w:szCs w:val="18"/>
                <w:u w:val="none"/>
              </w:rPr>
            </w:pP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B40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64E1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C115A">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B8440">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2600</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1258D">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69A9A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75AB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5EC0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电力电缆保护管 MPP</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CC4B6">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DN100×4.5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31A4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1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FAA49">
            <w:pPr>
              <w:keepNext/>
              <w:keepLines w:val="0"/>
              <w:suppressLineNumbers w:val="0"/>
              <w:snapToGrid w:val="0"/>
              <w:spacing w:before="0" w:beforeAutospacing="0" w:after="0" w:afterAutospacing="0"/>
              <w:ind w:left="0" w:leftChars="0" w:right="0" w:rightChars="0" w:firstLine="0" w:firstLineChars="0"/>
              <w:jc w:val="left"/>
              <w:rPr>
                <w:rFonts w:hint="eastAsia" w:ascii="宋体" w:hAnsi="宋体" w:eastAsia="宋体" w:cs="宋体"/>
                <w:i w:val="0"/>
                <w:iCs w:val="0"/>
                <w:color w:val="000000"/>
                <w:sz w:val="18"/>
                <w:szCs w:val="18"/>
                <w:u w:val="none"/>
              </w:rPr>
            </w:pP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55DA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A56C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217C3">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506B2">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1015</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8CCDA">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3D51D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97BC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293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干混地面砂浆</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3094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0128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m³</w:t>
            </w:r>
          </w:p>
        </w:tc>
        <w:tc>
          <w:tcPr>
            <w:tcW w:w="1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63EA4">
            <w:pPr>
              <w:keepNext/>
              <w:keepLines w:val="0"/>
              <w:suppressLineNumbers w:val="0"/>
              <w:snapToGrid w:val="0"/>
              <w:spacing w:before="0" w:beforeAutospacing="0" w:after="0" w:afterAutospacing="0"/>
              <w:ind w:left="0" w:leftChars="0" w:right="0" w:rightChars="0" w:firstLine="0" w:firstLineChars="0"/>
              <w:jc w:val="left"/>
              <w:rPr>
                <w:rFonts w:hint="eastAsia" w:ascii="宋体" w:hAnsi="宋体" w:eastAsia="宋体" w:cs="宋体"/>
                <w:i w:val="0"/>
                <w:iCs w:val="0"/>
                <w:color w:val="000000"/>
                <w:sz w:val="18"/>
                <w:szCs w:val="18"/>
                <w:u w:val="none"/>
              </w:rPr>
            </w:pP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9978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维修</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BCFE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4E6C6">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519</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7453B">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5190</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4EE49">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5B7A2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031A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7EA7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混凝土路面砖</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AB34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厚度60mm</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09FB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m²</w:t>
            </w:r>
          </w:p>
        </w:tc>
        <w:tc>
          <w:tcPr>
            <w:tcW w:w="1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C9BC5">
            <w:pPr>
              <w:keepNext/>
              <w:keepLines w:val="0"/>
              <w:suppressLineNumbers w:val="0"/>
              <w:snapToGrid w:val="0"/>
              <w:spacing w:before="0" w:beforeAutospacing="0" w:after="0" w:afterAutospacing="0"/>
              <w:ind w:left="0" w:leftChars="0" w:right="0" w:rightChars="0" w:firstLine="0" w:firstLineChars="0"/>
              <w:jc w:val="left"/>
              <w:rPr>
                <w:rFonts w:hint="eastAsia" w:ascii="宋体" w:hAnsi="宋体" w:eastAsia="宋体" w:cs="宋体"/>
                <w:i w:val="0"/>
                <w:iCs w:val="0"/>
                <w:color w:val="000000"/>
                <w:sz w:val="18"/>
                <w:szCs w:val="18"/>
                <w:u w:val="none"/>
              </w:rPr>
            </w:pP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1839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维修</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92E0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D41EB">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78E66">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7440</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A0677">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2D5DF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16D7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FF35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仿石材道板砖</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4CCD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厚度100mm</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E448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m²</w:t>
            </w:r>
          </w:p>
        </w:tc>
        <w:tc>
          <w:tcPr>
            <w:tcW w:w="1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60652">
            <w:pPr>
              <w:keepNext/>
              <w:keepLines w:val="0"/>
              <w:suppressLineNumbers w:val="0"/>
              <w:snapToGrid w:val="0"/>
              <w:spacing w:before="0" w:beforeAutospacing="0" w:after="0" w:afterAutospacing="0"/>
              <w:ind w:left="0" w:leftChars="0" w:right="0" w:rightChars="0" w:firstLine="0" w:firstLineChars="0"/>
              <w:jc w:val="left"/>
              <w:rPr>
                <w:rFonts w:hint="eastAsia" w:ascii="宋体" w:hAnsi="宋体" w:eastAsia="宋体" w:cs="宋体"/>
                <w:i w:val="0"/>
                <w:iCs w:val="0"/>
                <w:color w:val="000000"/>
                <w:sz w:val="18"/>
                <w:szCs w:val="18"/>
                <w:u w:val="none"/>
              </w:rPr>
            </w:pP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45FA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维修</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503E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DD765">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B3299">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16080</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3969F">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6B529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6803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43B94">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限流熔断器</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0806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XRNP1-10-12KV</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65D6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BC111">
            <w:pPr>
              <w:keepNext/>
              <w:keepLines w:val="0"/>
              <w:suppressLineNumbers w:val="0"/>
              <w:snapToGrid w:val="0"/>
              <w:spacing w:before="0" w:beforeAutospacing="0" w:after="0" w:afterAutospacing="0"/>
              <w:ind w:left="0" w:leftChars="0" w:right="0" w:rightChars="0" w:firstLine="0" w:firstLineChars="0"/>
              <w:jc w:val="left"/>
              <w:rPr>
                <w:rFonts w:hint="eastAsia" w:ascii="宋体" w:hAnsi="宋体" w:eastAsia="宋体" w:cs="宋体"/>
                <w:i w:val="0"/>
                <w:iCs w:val="0"/>
                <w:color w:val="000000"/>
                <w:sz w:val="18"/>
                <w:szCs w:val="18"/>
                <w:u w:val="none"/>
              </w:rPr>
            </w:pP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F6DF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25E9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1C47">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94CA">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BCF2E">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0AC1A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A5DC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2C86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接地扁铁</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25E76">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镀锌40×4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778A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1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D818C">
            <w:pPr>
              <w:keepNext/>
              <w:keepLines w:val="0"/>
              <w:suppressLineNumbers w:val="0"/>
              <w:snapToGrid w:val="0"/>
              <w:spacing w:before="0" w:beforeAutospacing="0" w:after="0" w:afterAutospacing="0"/>
              <w:ind w:left="0" w:leftChars="0" w:right="0" w:rightChars="0" w:firstLine="0" w:firstLineChars="0"/>
              <w:jc w:val="left"/>
              <w:rPr>
                <w:rFonts w:hint="eastAsia" w:ascii="宋体" w:hAnsi="宋体" w:eastAsia="宋体" w:cs="宋体"/>
                <w:i w:val="0"/>
                <w:iCs w:val="0"/>
                <w:color w:val="000000"/>
                <w:sz w:val="18"/>
                <w:szCs w:val="18"/>
                <w:u w:val="none"/>
              </w:rPr>
            </w:pP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3A2D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B8A3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04C4B">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D8779">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360</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E2203">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2CD7F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FB1C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638BC">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横条道闸杆</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E609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铝合金</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CC6B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37060">
            <w:pPr>
              <w:keepNext/>
              <w:keepLines w:val="0"/>
              <w:suppressLineNumbers w:val="0"/>
              <w:snapToGrid w:val="0"/>
              <w:spacing w:before="0" w:beforeAutospacing="0" w:after="0" w:afterAutospacing="0"/>
              <w:ind w:left="0" w:leftChars="0" w:right="0" w:rightChars="0" w:firstLine="0" w:firstLineChars="0"/>
              <w:jc w:val="left"/>
              <w:rPr>
                <w:rFonts w:hint="eastAsia" w:ascii="宋体" w:hAnsi="宋体" w:eastAsia="宋体" w:cs="宋体"/>
                <w:i w:val="0"/>
                <w:iCs w:val="0"/>
                <w:color w:val="000000"/>
                <w:sz w:val="18"/>
                <w:szCs w:val="18"/>
                <w:u w:val="none"/>
              </w:rPr>
            </w:pP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2086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E05C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AE4CA">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3577B">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3FA6D">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6D05F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D3AD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E5822">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广告道闸</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7FAF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铝合金百叶款</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564B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4A00B">
            <w:pPr>
              <w:keepNext/>
              <w:keepLines w:val="0"/>
              <w:suppressLineNumbers w:val="0"/>
              <w:snapToGrid w:val="0"/>
              <w:spacing w:before="0" w:beforeAutospacing="0" w:after="0" w:afterAutospacing="0"/>
              <w:ind w:left="0" w:leftChars="0" w:right="0" w:rightChars="0" w:firstLine="0" w:firstLineChars="0"/>
              <w:jc w:val="left"/>
              <w:rPr>
                <w:rFonts w:hint="eastAsia" w:ascii="宋体" w:hAnsi="宋体" w:eastAsia="宋体" w:cs="宋体"/>
                <w:i w:val="0"/>
                <w:iCs w:val="0"/>
                <w:color w:val="000000"/>
                <w:sz w:val="18"/>
                <w:szCs w:val="18"/>
                <w:u w:val="none"/>
              </w:rPr>
            </w:pP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FE64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8A6A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63B2A">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9B5BE">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8D3E0">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46976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255B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616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混凝土基础（交流桩）</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E82C6">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AC19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7943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0CF8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6A9B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1DEE3">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02831">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1680</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B2213">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61329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E0F1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C68BC">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混凝土基础（监控）</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D65D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F49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BD6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8D50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BD71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74B80">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B1A2D">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1680</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6FA42">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048A2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9B56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36F32">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混凝土基础（低分箱）</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2D9B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3CEF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37CC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3E04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EE2D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6B6BC">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DD032">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2400</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26599">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320FD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8A9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B48B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车位线</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7E2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热熔漆工艺</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6768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m²</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BE8CC">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869D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C50E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431D1">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88893">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6000</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B0017">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636EE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4E7E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B03C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车位线清除</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2F83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681D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m²</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CED2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F0A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1D13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DA7FA">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60E3A">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870</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41E50">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546A4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CEAE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580A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道路侧缘石</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68E42">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E57F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309DC">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902C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DEDD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9A3FB">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C623C">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665.6</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673A9">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162C2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84C3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17C6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芝麻球挡车石</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451E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直径50cm</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03CD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A5136">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C23C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7492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5EED4">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E5523">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B6BE4">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1360F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64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4804F0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合计</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DD94B">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297792.8</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345E">
            <w:pPr>
              <w:keepNext/>
              <w:keepLines w:val="0"/>
              <w:widowControl/>
              <w:suppressLineNumbers w:val="0"/>
              <w:snapToGrid w:val="0"/>
              <w:spacing w:before="0" w:beforeAutospacing="0" w:after="0" w:afterAutospacing="0"/>
              <w:ind w:left="0" w:leftChars="0" w:right="0" w:rightChars="0" w:firstLine="0" w:firstLineChars="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297792.8</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3945F">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i w:val="0"/>
                <w:iCs w:val="0"/>
                <w:color w:val="000000"/>
                <w:sz w:val="18"/>
                <w:szCs w:val="18"/>
                <w:u w:val="none"/>
              </w:rPr>
            </w:pPr>
          </w:p>
        </w:tc>
      </w:tr>
      <w:tr w14:paraId="55A25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7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E20F86">
            <w:pPr>
              <w:keepNext/>
              <w:keepLines w:val="0"/>
              <w:suppressLineNumbers w:val="0"/>
              <w:snapToGrid w:val="0"/>
              <w:spacing w:before="0" w:beforeAutospacing="0" w:after="0" w:afterAutospacing="0"/>
              <w:ind w:left="0" w:leftChars="0" w:right="0" w:rightChars="0" w:firstLine="0" w:firstLineChars="0"/>
              <w:jc w:val="both"/>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备注：</w:t>
            </w:r>
          </w:p>
          <w:p w14:paraId="272FCF65">
            <w:pPr>
              <w:keepNext/>
              <w:keepLines w:val="0"/>
              <w:suppressLineNumbers w:val="0"/>
              <w:snapToGrid w:val="0"/>
              <w:spacing w:before="0" w:beforeAutospacing="0" w:after="0" w:afterAutospacing="0"/>
              <w:ind w:left="0" w:leftChars="0" w:right="0" w:rightChars="0" w:firstLine="0" w:firstLineChars="0"/>
              <w:jc w:val="both"/>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1、维修项目及配件须提供不少于6个月的质保期，更换项目及配件须提供不少于1年的质保期，质保期内出现同类故障免费返修/换新，二次运输费由供应商承担。</w:t>
            </w:r>
          </w:p>
          <w:p w14:paraId="568305E7">
            <w:pPr>
              <w:keepNext/>
              <w:keepLines w:val="0"/>
              <w:suppressLineNumbers w:val="0"/>
              <w:snapToGrid w:val="0"/>
              <w:spacing w:before="0" w:beforeAutospacing="0" w:after="0" w:afterAutospacing="0"/>
              <w:ind w:left="0" w:leftChars="0" w:right="0" w:rightChars="0" w:firstLine="0" w:firstLineChars="0"/>
              <w:jc w:val="both"/>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2、响应时效（评标及履约考核项）：接报后30分钟内响应，与故障上报人沟通确认故障情况；市区站点 2 小时内到场、24 小时内完成常规故障修复；偏远站点 4 小时内到场、48 小时内完成常规故障修复；重大紧急故障需第一时间到场处置，优先保障充电站正常运营，无法及时修复的，需书面告知甲方故障原因、整改方案及完成时限。未按时到场按合同约定扣罚。</w:t>
            </w:r>
          </w:p>
          <w:p w14:paraId="03DBF956">
            <w:pPr>
              <w:keepNext/>
              <w:keepLines w:val="0"/>
              <w:suppressLineNumbers w:val="0"/>
              <w:snapToGrid w:val="0"/>
              <w:spacing w:before="0" w:beforeAutospacing="0" w:after="0" w:afterAutospacing="0"/>
              <w:ind w:left="0" w:leftChars="0" w:right="0" w:rightChars="0" w:firstLine="0" w:firstLineChars="0"/>
              <w:jc w:val="both"/>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3、本清单为综合单价，已含材料费、人工费、机械费、利润、税金、运费、路费及餐费等全部费用，除另有注明外不再另行计取。</w:t>
            </w:r>
          </w:p>
          <w:p w14:paraId="4F4C9B16">
            <w:pPr>
              <w:keepNext/>
              <w:keepLines w:val="0"/>
              <w:suppressLineNumbers w:val="0"/>
              <w:snapToGrid w:val="0"/>
              <w:spacing w:before="0" w:beforeAutospacing="0" w:after="0" w:afterAutospacing="0"/>
              <w:ind w:left="0" w:leftChars="0" w:right="0" w:rightChars="0" w:firstLine="0" w:firstLineChars="0"/>
              <w:jc w:val="both"/>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4、品牌约定：清单所列品牌为参考品牌，允许提供同档次、同规格替代品牌，但须经甲方书面认可。</w:t>
            </w:r>
          </w:p>
        </w:tc>
      </w:tr>
    </w:tbl>
    <w:p w14:paraId="2C62365D">
      <w:pPr>
        <w:keepNext w:val="0"/>
        <w:keepLines w:val="0"/>
        <w:widowControl w:val="0"/>
        <w:suppressLineNumbers w:val="0"/>
        <w:autoSpaceDE w:val="0"/>
        <w:autoSpaceDN w:val="0"/>
        <w:spacing w:before="0" w:beforeAutospacing="0" w:after="0" w:afterAutospacing="0" w:line="360" w:lineRule="auto"/>
        <w:ind w:left="0" w:right="0" w:firstLine="422" w:firstLineChars="200"/>
        <w:jc w:val="left"/>
        <w:rPr>
          <w:rFonts w:hint="default" w:ascii="宋体" w:hAnsi="宋体" w:eastAsia="宋体" w:cs="宋体"/>
          <w:lang w:val="en-US" w:eastAsia="zh-CN"/>
        </w:rPr>
      </w:pPr>
      <w:r>
        <w:rPr>
          <w:rFonts w:hint="default" w:ascii="宋体" w:hAnsi="宋体" w:eastAsia="宋体" w:cs="宋体"/>
          <w:b/>
          <w:bCs/>
          <w:kern w:val="2"/>
          <w:sz w:val="21"/>
          <w:szCs w:val="21"/>
          <w:lang w:val="en-US" w:eastAsia="zh-CN" w:bidi="ar"/>
        </w:rPr>
        <w:t>三、服务要求</w:t>
      </w:r>
    </w:p>
    <w:p w14:paraId="6A3A5426">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rPr>
          <w:rFonts w:hint="default" w:ascii="宋体" w:hAnsi="宋体" w:eastAsia="宋体" w:cs="宋体"/>
          <w:highlight w:val="none"/>
          <w:lang w:val="en-US" w:eastAsia="zh-CN"/>
        </w:rPr>
      </w:pPr>
      <w:r>
        <w:rPr>
          <w:rFonts w:hint="eastAsia" w:ascii="宋体" w:hAnsi="宋体" w:eastAsia="宋体" w:cs="宋体"/>
          <w:b/>
          <w:bCs/>
          <w:highlight w:val="none"/>
          <w:lang w:val="en-US" w:eastAsia="zh-CN"/>
        </w:rPr>
        <w:t xml:space="preserve">3.1 </w:t>
      </w:r>
      <w:r>
        <w:rPr>
          <w:rFonts w:hint="default" w:ascii="宋体" w:hAnsi="宋体" w:eastAsia="宋体" w:cs="宋体"/>
          <w:b/>
          <w:bCs/>
          <w:highlight w:val="none"/>
          <w:lang w:val="en-US" w:eastAsia="zh-CN"/>
        </w:rPr>
        <w:t>响应时效要求</w:t>
      </w:r>
      <w:r>
        <w:rPr>
          <w:rFonts w:hint="default" w:ascii="宋体" w:hAnsi="宋体" w:eastAsia="宋体" w:cs="宋体"/>
          <w:highlight w:val="none"/>
          <w:lang w:val="en-US" w:eastAsia="zh-CN"/>
        </w:rPr>
        <w:t>：</w:t>
      </w:r>
    </w:p>
    <w:p w14:paraId="351EAC82">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highlight w:val="green"/>
          <w:lang w:val="en-US" w:eastAsia="zh-CN"/>
        </w:rPr>
      </w:pPr>
      <w:r>
        <w:rPr>
          <w:rFonts w:hint="default" w:ascii="宋体" w:hAnsi="宋体" w:eastAsia="宋体" w:cs="宋体"/>
          <w:highlight w:val="none"/>
          <w:lang w:val="en-US" w:eastAsia="zh-CN"/>
        </w:rPr>
        <w:t>响应时效（评标及履约考核项）：接报后30分钟内响应，与故障上报人沟通确认故障情况；市区站点 2 小时内到场、24 小时内完成常规故障修复；偏远站点 4 小时内到场、48 小时内完成常规故障修复；重大紧急故障需第一时间到场处置，优先保障充电站正常运营，无法及时修复的，需书面告知甲方故障原因、整改方案及完成时限。</w:t>
      </w:r>
    </w:p>
    <w:p w14:paraId="74FCCCDF">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rPr>
          <w:rFonts w:hint="default" w:ascii="宋体" w:hAnsi="宋体" w:eastAsia="宋体" w:cs="宋体"/>
          <w:lang w:val="en-US" w:eastAsia="zh-CN"/>
        </w:rPr>
      </w:pPr>
      <w:r>
        <w:rPr>
          <w:rFonts w:hint="eastAsia" w:ascii="宋体" w:hAnsi="宋体" w:cs="宋体"/>
          <w:b/>
          <w:bCs/>
          <w:lang w:val="en-US" w:eastAsia="zh-CN"/>
        </w:rPr>
        <w:t>3.2</w:t>
      </w:r>
      <w:r>
        <w:rPr>
          <w:rFonts w:hint="default" w:ascii="宋体" w:hAnsi="宋体" w:eastAsia="宋体" w:cs="宋体"/>
          <w:b/>
          <w:bCs/>
          <w:lang w:val="en-US" w:eastAsia="zh-CN"/>
        </w:rPr>
        <w:t>人员要求：</w:t>
      </w:r>
    </w:p>
    <w:p w14:paraId="32B34058">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lang w:val="en-US" w:eastAsia="zh-CN"/>
        </w:rPr>
      </w:pPr>
      <w:r>
        <w:rPr>
          <w:rFonts w:hint="default" w:ascii="宋体" w:hAnsi="宋体" w:eastAsia="宋体" w:cs="宋体"/>
          <w:lang w:val="en-US" w:eastAsia="zh-CN"/>
        </w:rPr>
        <w:t>（1）拟投入本项目的维修人员须持有有效的高</w:t>
      </w:r>
      <w:r>
        <w:rPr>
          <w:rFonts w:hint="eastAsia" w:ascii="宋体" w:hAnsi="宋体" w:cs="宋体"/>
          <w:lang w:val="en-US" w:eastAsia="zh-CN"/>
        </w:rPr>
        <w:t>、</w:t>
      </w:r>
      <w:r>
        <w:rPr>
          <w:rFonts w:hint="default" w:ascii="宋体" w:hAnsi="宋体" w:eastAsia="宋体" w:cs="宋体"/>
          <w:lang w:val="en-US" w:eastAsia="zh-CN"/>
        </w:rPr>
        <w:t>低压电工特种作业操作证；</w:t>
      </w:r>
    </w:p>
    <w:p w14:paraId="5BC26AE4">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lang w:val="en-US" w:eastAsia="zh-CN"/>
        </w:rPr>
      </w:pPr>
      <w:r>
        <w:rPr>
          <w:rFonts w:hint="default" w:ascii="宋体" w:hAnsi="宋体" w:eastAsia="宋体" w:cs="宋体"/>
          <w:lang w:val="en-US" w:eastAsia="zh-CN"/>
        </w:rPr>
        <w:t>（2）具备充电桩维修相关经验，熟悉主流充电桩品牌（英飞源、华为、星星充电等）的设备原理和维修技术；</w:t>
      </w:r>
    </w:p>
    <w:p w14:paraId="1CE02D50">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lang w:val="en-US" w:eastAsia="zh-CN"/>
        </w:rPr>
      </w:pPr>
      <w:r>
        <w:rPr>
          <w:rFonts w:hint="default" w:ascii="宋体" w:hAnsi="宋体" w:eastAsia="宋体" w:cs="宋体"/>
          <w:lang w:val="en-US" w:eastAsia="zh-CN"/>
        </w:rPr>
        <w:t>（3）须提供近 3 个月在本单位的社保证明。</w:t>
      </w:r>
    </w:p>
    <w:p w14:paraId="4838E6D1">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rPr>
          <w:rFonts w:hint="default" w:ascii="宋体" w:hAnsi="宋体" w:eastAsia="宋体" w:cs="宋体"/>
          <w:lang w:val="en-US" w:eastAsia="zh-CN"/>
        </w:rPr>
      </w:pPr>
      <w:r>
        <w:rPr>
          <w:rFonts w:hint="eastAsia" w:ascii="宋体" w:hAnsi="宋体" w:eastAsia="宋体" w:cs="宋体"/>
          <w:b/>
          <w:bCs/>
          <w:lang w:val="en-US" w:eastAsia="zh-CN"/>
        </w:rPr>
        <w:t>3.</w:t>
      </w:r>
      <w:r>
        <w:rPr>
          <w:rFonts w:hint="eastAsia" w:ascii="宋体" w:hAnsi="宋体" w:cs="宋体"/>
          <w:b/>
          <w:bCs/>
          <w:lang w:val="en-US" w:eastAsia="zh-CN"/>
        </w:rPr>
        <w:t>3</w:t>
      </w:r>
      <w:r>
        <w:rPr>
          <w:rFonts w:hint="eastAsia" w:ascii="宋体" w:hAnsi="宋体" w:eastAsia="宋体" w:cs="宋体"/>
          <w:b/>
          <w:bCs/>
          <w:lang w:val="en-US" w:eastAsia="zh-CN"/>
        </w:rPr>
        <w:t xml:space="preserve"> </w:t>
      </w:r>
      <w:r>
        <w:rPr>
          <w:rFonts w:hint="default" w:ascii="宋体" w:hAnsi="宋体" w:eastAsia="宋体" w:cs="宋体"/>
          <w:b/>
          <w:bCs/>
          <w:lang w:val="en-US" w:eastAsia="zh-CN"/>
        </w:rPr>
        <w:t>备品备件要求</w:t>
      </w:r>
      <w:r>
        <w:rPr>
          <w:rFonts w:hint="default" w:ascii="宋体" w:hAnsi="宋体" w:eastAsia="宋体" w:cs="宋体"/>
          <w:lang w:val="en-US" w:eastAsia="zh-CN"/>
        </w:rPr>
        <w:t>：</w:t>
      </w:r>
    </w:p>
    <w:p w14:paraId="35BD35E6">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lang w:val="en-US" w:eastAsia="zh-CN"/>
        </w:rPr>
      </w:pPr>
      <w:r>
        <w:rPr>
          <w:rFonts w:hint="default" w:ascii="宋体" w:hAnsi="宋体" w:eastAsia="宋体" w:cs="宋体"/>
          <w:lang w:val="en-US" w:eastAsia="zh-CN"/>
        </w:rPr>
        <w:t>（1）</w:t>
      </w:r>
      <w:r>
        <w:rPr>
          <w:rFonts w:hint="default" w:ascii="宋体" w:hAnsi="宋体" w:eastAsia="宋体" w:cs="宋体"/>
          <w:highlight w:val="none"/>
          <w:lang w:val="en-US" w:eastAsia="zh-CN"/>
        </w:rPr>
        <w:t>须设有备品备件仓库，关键易损件（充电枪线、熔断器、继电器、功率模块等）须有现货库存；</w:t>
      </w:r>
    </w:p>
    <w:p w14:paraId="41FADB55">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lang w:val="en-US" w:eastAsia="zh-CN"/>
        </w:rPr>
      </w:pPr>
      <w:r>
        <w:rPr>
          <w:rFonts w:hint="default" w:ascii="宋体" w:hAnsi="宋体" w:eastAsia="宋体" w:cs="宋体"/>
          <w:lang w:val="en-US" w:eastAsia="zh-CN"/>
        </w:rPr>
        <w:t>（2）备品备件须为原厂正品，符合国家相关质量标准。</w:t>
      </w:r>
    </w:p>
    <w:p w14:paraId="719A36E1">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rPr>
          <w:rFonts w:hint="default" w:ascii="宋体" w:hAnsi="宋体" w:eastAsia="宋体" w:cs="宋体"/>
          <w:lang w:val="en-US" w:eastAsia="zh-CN"/>
        </w:rPr>
      </w:pPr>
      <w:r>
        <w:rPr>
          <w:rFonts w:hint="eastAsia" w:ascii="宋体" w:hAnsi="宋体" w:eastAsia="宋体" w:cs="宋体"/>
          <w:b/>
          <w:bCs/>
          <w:lang w:val="en-US" w:eastAsia="zh-CN"/>
        </w:rPr>
        <w:t>3.</w:t>
      </w:r>
      <w:r>
        <w:rPr>
          <w:rFonts w:hint="eastAsia" w:ascii="宋体" w:hAnsi="宋体" w:cs="宋体"/>
          <w:b/>
          <w:bCs/>
          <w:lang w:val="en-US" w:eastAsia="zh-CN"/>
        </w:rPr>
        <w:t>4</w:t>
      </w:r>
      <w:r>
        <w:rPr>
          <w:rFonts w:hint="eastAsia" w:ascii="宋体" w:hAnsi="宋体" w:eastAsia="宋体" w:cs="宋体"/>
          <w:b/>
          <w:bCs/>
          <w:lang w:val="en-US" w:eastAsia="zh-CN"/>
        </w:rPr>
        <w:t xml:space="preserve"> </w:t>
      </w:r>
      <w:r>
        <w:rPr>
          <w:rFonts w:hint="default" w:ascii="宋体" w:hAnsi="宋体" w:eastAsia="宋体" w:cs="宋体"/>
          <w:b/>
          <w:bCs/>
          <w:lang w:val="en-US" w:eastAsia="zh-CN"/>
        </w:rPr>
        <w:t>质量要求：</w:t>
      </w:r>
    </w:p>
    <w:p w14:paraId="3E03DBDF">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lang w:val="en-US" w:eastAsia="zh-CN"/>
        </w:rPr>
      </w:pPr>
      <w:r>
        <w:rPr>
          <w:rFonts w:hint="default" w:ascii="宋体" w:hAnsi="宋体" w:eastAsia="宋体" w:cs="宋体"/>
          <w:lang w:val="en-US" w:eastAsia="zh-CN"/>
        </w:rPr>
        <w:t>（1）维修后的设备须符合国家及行业相关标准，满足正常使用需求；</w:t>
      </w:r>
    </w:p>
    <w:p w14:paraId="019F0329">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lang w:val="en-US" w:eastAsia="zh-CN"/>
        </w:rPr>
      </w:pPr>
      <w:r>
        <w:rPr>
          <w:rFonts w:hint="default" w:ascii="宋体" w:hAnsi="宋体" w:eastAsia="宋体" w:cs="宋体"/>
          <w:lang w:val="en-US" w:eastAsia="zh-CN"/>
        </w:rPr>
        <w:t>（2</w:t>
      </w:r>
      <w:r>
        <w:rPr>
          <w:rFonts w:hint="default" w:ascii="宋体" w:hAnsi="宋体" w:eastAsia="宋体" w:cs="宋体"/>
          <w:highlight w:val="none"/>
          <w:lang w:val="en-US" w:eastAsia="zh-CN"/>
        </w:rPr>
        <w:t>）维修</w:t>
      </w:r>
      <w:r>
        <w:rPr>
          <w:rFonts w:hint="eastAsia" w:ascii="宋体" w:hAnsi="宋体" w:cs="宋体"/>
          <w:highlight w:val="none"/>
          <w:lang w:val="en-US" w:eastAsia="zh-CN"/>
        </w:rPr>
        <w:t>项目及</w:t>
      </w:r>
      <w:r>
        <w:rPr>
          <w:rFonts w:hint="default" w:ascii="宋体" w:hAnsi="宋体" w:eastAsia="宋体" w:cs="宋体"/>
          <w:highlight w:val="none"/>
          <w:lang w:val="en-US" w:eastAsia="zh-CN"/>
        </w:rPr>
        <w:t>配件须提供不少于</w:t>
      </w:r>
      <w:r>
        <w:rPr>
          <w:rFonts w:hint="eastAsia" w:ascii="宋体" w:hAnsi="宋体" w:cs="宋体"/>
          <w:highlight w:val="none"/>
          <w:lang w:val="en-US" w:eastAsia="zh-CN"/>
        </w:rPr>
        <w:t>6</w:t>
      </w:r>
      <w:r>
        <w:rPr>
          <w:rFonts w:hint="default" w:ascii="宋体" w:hAnsi="宋体" w:eastAsia="宋体" w:cs="宋体"/>
          <w:highlight w:val="none"/>
          <w:lang w:val="en-US" w:eastAsia="zh-CN"/>
        </w:rPr>
        <w:t>个月的质保期</w:t>
      </w:r>
      <w:r>
        <w:rPr>
          <w:rFonts w:hint="eastAsia" w:ascii="宋体" w:hAnsi="宋体" w:cs="宋体"/>
          <w:highlight w:val="none"/>
          <w:lang w:val="en-US" w:eastAsia="zh-CN"/>
        </w:rPr>
        <w:t>，更换项目及配件须提供不少于1年的质保期</w:t>
      </w:r>
      <w:r>
        <w:rPr>
          <w:rFonts w:hint="default" w:ascii="宋体" w:hAnsi="宋体" w:eastAsia="宋体" w:cs="宋体"/>
          <w:highlight w:val="none"/>
          <w:lang w:val="en-US" w:eastAsia="zh-CN"/>
        </w:rPr>
        <w:t>；</w:t>
      </w:r>
    </w:p>
    <w:p w14:paraId="25BE468A">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lang w:val="en-US" w:eastAsia="zh-CN"/>
        </w:rPr>
      </w:pPr>
      <w:r>
        <w:rPr>
          <w:rFonts w:hint="default" w:ascii="宋体" w:hAnsi="宋体" w:eastAsia="宋体" w:cs="宋体"/>
          <w:lang w:val="en-US" w:eastAsia="zh-CN"/>
        </w:rPr>
        <w:t>（3）维修过程须严格遵守安全操作规范，做好安全防护措施，杜绝安全事故。</w:t>
      </w:r>
    </w:p>
    <w:p w14:paraId="3A854FB6">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rPr>
          <w:rFonts w:hint="default" w:ascii="宋体" w:hAnsi="宋体" w:eastAsia="宋体" w:cs="宋体"/>
          <w:lang w:val="en-US" w:eastAsia="zh-CN"/>
        </w:rPr>
      </w:pPr>
      <w:r>
        <w:rPr>
          <w:rFonts w:hint="eastAsia" w:ascii="宋体" w:hAnsi="宋体" w:eastAsia="宋体" w:cs="宋体"/>
          <w:b/>
          <w:bCs/>
          <w:lang w:val="en-US" w:eastAsia="zh-CN"/>
        </w:rPr>
        <w:t>3.</w:t>
      </w:r>
      <w:r>
        <w:rPr>
          <w:rFonts w:hint="eastAsia" w:ascii="宋体" w:hAnsi="宋体" w:cs="宋体"/>
          <w:b/>
          <w:bCs/>
          <w:lang w:val="en-US" w:eastAsia="zh-CN"/>
        </w:rPr>
        <w:t>5</w:t>
      </w:r>
      <w:r>
        <w:rPr>
          <w:rFonts w:hint="eastAsia" w:ascii="宋体" w:hAnsi="宋体" w:eastAsia="宋体" w:cs="宋体"/>
          <w:b/>
          <w:bCs/>
          <w:lang w:val="en-US" w:eastAsia="zh-CN"/>
        </w:rPr>
        <w:t xml:space="preserve"> </w:t>
      </w:r>
      <w:r>
        <w:rPr>
          <w:rFonts w:hint="default" w:ascii="宋体" w:hAnsi="宋体" w:eastAsia="宋体" w:cs="宋体"/>
          <w:b/>
          <w:bCs/>
          <w:lang w:val="en-US" w:eastAsia="zh-CN"/>
        </w:rPr>
        <w:t>安全要求：</w:t>
      </w:r>
    </w:p>
    <w:p w14:paraId="4B58C374">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lang w:val="en-US" w:eastAsia="zh-CN"/>
        </w:rPr>
      </w:pPr>
      <w:r>
        <w:rPr>
          <w:rFonts w:hint="default" w:ascii="宋体" w:hAnsi="宋体" w:eastAsia="宋体" w:cs="宋体"/>
          <w:lang w:val="en-US" w:eastAsia="zh-CN"/>
        </w:rPr>
        <w:t>（1）须建立完善的安全生产管理制度，落实安全生产责任制；</w:t>
      </w:r>
    </w:p>
    <w:p w14:paraId="7945A04F">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lang w:val="en-US" w:eastAsia="zh-CN"/>
        </w:rPr>
      </w:pPr>
      <w:r>
        <w:rPr>
          <w:rFonts w:hint="default" w:ascii="宋体" w:hAnsi="宋体" w:eastAsia="宋体" w:cs="宋体"/>
          <w:lang w:val="en-US" w:eastAsia="zh-CN"/>
        </w:rPr>
        <w:t>（2）维修人员须严格遵守场站安全管理规定，佩戴安全防护用具，规范作业；</w:t>
      </w:r>
    </w:p>
    <w:p w14:paraId="62DEE1C3">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lang w:val="en-US" w:eastAsia="zh-CN"/>
        </w:rPr>
      </w:pPr>
      <w:r>
        <w:rPr>
          <w:rFonts w:hint="default" w:ascii="宋体" w:hAnsi="宋体" w:eastAsia="宋体" w:cs="宋体"/>
          <w:lang w:val="en-US" w:eastAsia="zh-CN"/>
        </w:rPr>
        <w:t>（3）须制定完善的应急预案，应对各类突发安全事件。</w:t>
      </w:r>
    </w:p>
    <w:p w14:paraId="48D14B25">
      <w:pPr>
        <w:keepNext w:val="0"/>
        <w:keepLines w:val="0"/>
        <w:widowControl w:val="0"/>
        <w:suppressLineNumbers w:val="0"/>
        <w:autoSpaceDE w:val="0"/>
        <w:autoSpaceDN w:val="0"/>
        <w:spacing w:before="0" w:beforeAutospacing="0" w:after="0" w:afterAutospacing="0" w:line="360" w:lineRule="auto"/>
        <w:ind w:left="0" w:right="0" w:firstLine="422" w:firstLineChars="200"/>
        <w:jc w:val="left"/>
        <w:rPr>
          <w:rFonts w:hint="default" w:ascii="宋体" w:hAnsi="宋体" w:eastAsia="宋体" w:cs="宋体"/>
          <w:lang w:val="en-US" w:eastAsia="zh-CN"/>
        </w:rPr>
      </w:pPr>
      <w:r>
        <w:rPr>
          <w:rFonts w:hint="default" w:ascii="宋体" w:hAnsi="宋体" w:eastAsia="宋体" w:cs="宋体"/>
          <w:b/>
          <w:bCs/>
          <w:kern w:val="2"/>
          <w:sz w:val="21"/>
          <w:szCs w:val="21"/>
          <w:lang w:val="en-US" w:eastAsia="zh-CN" w:bidi="ar"/>
        </w:rPr>
        <w:t>四、付款方式</w:t>
      </w:r>
    </w:p>
    <w:p w14:paraId="27D5833D">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lang w:val="en-US" w:eastAsia="zh-CN"/>
        </w:rPr>
      </w:pPr>
      <w:r>
        <w:rPr>
          <w:rFonts w:hint="default" w:ascii="宋体" w:hAnsi="宋体" w:eastAsia="宋体" w:cs="宋体"/>
          <w:lang w:val="en-US" w:eastAsia="zh-CN"/>
        </w:rPr>
        <w:t>本项目无预付款，按月度进行结算，次月结算上月维修完成且验收合格的项目。每次付款前，成交供应商须向采购人开具符合要求的正规增值税专用发票，否则采购人有权拒绝付款。</w:t>
      </w:r>
    </w:p>
    <w:p w14:paraId="614BC09B">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b/>
          <w:bCs/>
          <w:kern w:val="2"/>
          <w:sz w:val="21"/>
          <w:szCs w:val="21"/>
          <w:lang w:val="en-US" w:eastAsia="zh-CN" w:bidi="ar"/>
        </w:rPr>
      </w:pPr>
      <w:r>
        <w:rPr>
          <w:rFonts w:hint="default" w:ascii="宋体" w:hAnsi="宋体" w:eastAsia="宋体" w:cs="宋体"/>
          <w:lang w:val="en-US" w:eastAsia="zh-CN"/>
        </w:rPr>
        <w:t>支付依据：采购人下发的派工单、经双方确认通过的验收单、维修及安装服务施工资料（包括但不限于照片、合格证书、调试报告、维修日志等）、发票、支付申请单</w:t>
      </w:r>
      <w:r>
        <w:rPr>
          <w:rFonts w:hint="eastAsia" w:ascii="宋体" w:hAnsi="宋体" w:eastAsia="宋体" w:cs="宋体"/>
          <w:lang w:val="en-US" w:eastAsia="zh-CN"/>
        </w:rPr>
        <w:t>、合同</w:t>
      </w:r>
      <w:r>
        <w:rPr>
          <w:rFonts w:hint="default" w:ascii="宋体" w:hAnsi="宋体" w:eastAsia="宋体" w:cs="宋体"/>
          <w:lang w:val="en-US" w:eastAsia="zh-CN"/>
        </w:rPr>
        <w:t>。</w:t>
      </w:r>
    </w:p>
    <w:p w14:paraId="503F8FD7">
      <w:pPr>
        <w:keepNext w:val="0"/>
        <w:keepLines w:val="0"/>
        <w:widowControl w:val="0"/>
        <w:numPr>
          <w:ilvl w:val="0"/>
          <w:numId w:val="0"/>
        </w:numPr>
        <w:suppressLineNumbers w:val="0"/>
        <w:autoSpaceDE w:val="0"/>
        <w:autoSpaceDN w:val="0"/>
        <w:spacing w:before="0" w:beforeAutospacing="0" w:after="0" w:afterAutospacing="0" w:line="360" w:lineRule="auto"/>
        <w:ind w:right="0" w:rightChars="0"/>
        <w:jc w:val="left"/>
        <w:rPr>
          <w:rFonts w:hint="default" w:ascii="宋体" w:hAnsi="宋体" w:eastAsia="宋体" w:cs="宋体"/>
          <w:b/>
          <w:bCs/>
          <w:kern w:val="2"/>
          <w:sz w:val="21"/>
          <w:szCs w:val="21"/>
          <w:lang w:val="en-US" w:eastAsia="zh-CN" w:bidi="ar"/>
        </w:rPr>
        <w:sectPr>
          <w:headerReference r:id="rId7" w:type="default"/>
          <w:footerReference r:id="rId8" w:type="default"/>
          <w:pgSz w:w="11906" w:h="16838"/>
          <w:pgMar w:top="1440" w:right="1800" w:bottom="1440" w:left="1800" w:header="851" w:footer="992" w:gutter="0"/>
          <w:pgNumType w:fmt="decimal"/>
          <w:cols w:space="425" w:num="1"/>
          <w:docGrid w:type="lines" w:linePitch="312" w:charSpace="0"/>
        </w:sectPr>
      </w:pPr>
    </w:p>
    <w:p w14:paraId="5DBF1D33">
      <w:pPr>
        <w:pStyle w:val="2"/>
        <w:spacing w:before="0" w:beforeLines="0" w:after="0" w:afterLines="0" w:line="240" w:lineRule="auto"/>
        <w:jc w:val="center"/>
        <w:rPr>
          <w:rFonts w:hint="default" w:ascii="宋体" w:hAnsi="宋体" w:cs="Arial"/>
          <w:sz w:val="36"/>
          <w:szCs w:val="36"/>
          <w:lang w:val="en-US" w:eastAsia="zh-CN"/>
        </w:rPr>
      </w:pPr>
      <w:bookmarkStart w:id="291" w:name="_Toc26502"/>
      <w:r>
        <w:rPr>
          <w:rFonts w:hint="eastAsia" w:ascii="宋体" w:hAnsi="宋体" w:cs="Arial"/>
          <w:sz w:val="36"/>
          <w:szCs w:val="36"/>
          <w:lang w:val="en-US" w:eastAsia="zh-CN"/>
        </w:rPr>
        <w:t xml:space="preserve">第五章 </w:t>
      </w:r>
      <w:bookmarkEnd w:id="288"/>
      <w:r>
        <w:rPr>
          <w:rFonts w:hint="eastAsia" w:ascii="宋体" w:hAnsi="宋体" w:cs="Arial"/>
          <w:sz w:val="36"/>
          <w:szCs w:val="36"/>
          <w:lang w:val="en-US" w:eastAsia="zh-CN"/>
        </w:rPr>
        <w:t>入库框架协议</w:t>
      </w:r>
      <w:bookmarkEnd w:id="291"/>
    </w:p>
    <w:p w14:paraId="77CC936F">
      <w:pPr>
        <w:bidi w:val="0"/>
        <w:jc w:val="center"/>
        <w:rPr>
          <w:rFonts w:hint="default" w:ascii="宋体" w:hAnsi="宋体" w:eastAsia="宋体" w:cs="Arial"/>
          <w:szCs w:val="36"/>
          <w:lang w:val="en-US" w:eastAsia="zh-CN"/>
        </w:rPr>
      </w:pPr>
      <w:r>
        <w:rPr>
          <w:rFonts w:hint="eastAsia" w:ascii="宋体" w:hAnsi="宋体" w:eastAsia="宋体" w:cs="宋体"/>
          <w:sz w:val="32"/>
          <w:szCs w:val="32"/>
        </w:rPr>
        <w:t>XXXX公司XXXX项目</w:t>
      </w:r>
      <w:r>
        <w:rPr>
          <w:rFonts w:hint="eastAsia" w:ascii="宋体" w:hAnsi="宋体" w:eastAsia="宋体" w:cs="宋体"/>
          <w:sz w:val="32"/>
          <w:szCs w:val="32"/>
          <w:lang w:val="en-US" w:eastAsia="zh-CN"/>
        </w:rPr>
        <w:t>入库框架协议</w:t>
      </w:r>
    </w:p>
    <w:p w14:paraId="072A662D">
      <w:pPr>
        <w:spacing w:before="78" w:beforeLines="25" w:after="78" w:afterLines="25" w:line="276" w:lineRule="auto"/>
        <w:ind w:firstLine="482" w:firstLineChars="200"/>
        <w:jc w:val="center"/>
        <w:rPr>
          <w:rFonts w:hint="default" w:ascii="宋体" w:hAnsi="宋体" w:eastAsia="宋体" w:cs="Arial"/>
          <w:b/>
          <w:sz w:val="24"/>
          <w:szCs w:val="21"/>
        </w:rPr>
      </w:pPr>
    </w:p>
    <w:p w14:paraId="20DB8B19">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2" w:firstLineChars="200"/>
        <w:textAlignment w:val="auto"/>
        <w:rPr>
          <w:rFonts w:hint="default" w:ascii="宋体" w:hAnsi="宋体" w:eastAsia="宋体" w:cs="Arial"/>
          <w:b w:val="0"/>
          <w:bCs/>
          <w:color w:val="auto"/>
          <w:sz w:val="24"/>
          <w:szCs w:val="21"/>
        </w:rPr>
      </w:pPr>
      <w:r>
        <w:rPr>
          <w:rFonts w:hint="default" w:ascii="宋体" w:hAnsi="宋体" w:eastAsia="宋体" w:cs="Arial"/>
          <w:b/>
          <w:bCs w:val="0"/>
          <w:color w:val="auto"/>
          <w:sz w:val="24"/>
          <w:szCs w:val="21"/>
        </w:rPr>
        <w:t>甲方（采购人）：阜阳充电桩有限责任公司</w:t>
      </w:r>
    </w:p>
    <w:p w14:paraId="64A1A7E5">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2" w:firstLineChars="200"/>
        <w:textAlignment w:val="auto"/>
        <w:rPr>
          <w:rFonts w:hint="default" w:ascii="宋体" w:hAnsi="宋体" w:eastAsia="宋体" w:cs="Arial"/>
          <w:b/>
          <w:bCs w:val="0"/>
          <w:color w:val="auto"/>
          <w:sz w:val="24"/>
          <w:szCs w:val="21"/>
        </w:rPr>
      </w:pPr>
      <w:r>
        <w:rPr>
          <w:rFonts w:hint="default" w:ascii="宋体" w:hAnsi="宋体" w:eastAsia="宋体" w:cs="Arial"/>
          <w:b/>
          <w:bCs w:val="0"/>
          <w:color w:val="auto"/>
          <w:sz w:val="24"/>
          <w:szCs w:val="21"/>
        </w:rPr>
        <w:t>乙方（供应商）：</w:t>
      </w:r>
    </w:p>
    <w:p w14:paraId="2057A915">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根据《中华人民共和国民法典》等法律法规，甲乙双方本着平等自愿、公平诚信、互利共赢原则，就乙方进入甲方充电桩维修服务供应商库事宜，订立本入库框架协议，以资共同信守。</w:t>
      </w:r>
    </w:p>
    <w:p w14:paraId="60C3715A">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2" w:firstLineChars="200"/>
        <w:textAlignment w:val="auto"/>
        <w:rPr>
          <w:rFonts w:hint="default" w:ascii="宋体" w:hAnsi="宋体" w:eastAsia="宋体" w:cs="Arial"/>
          <w:b/>
          <w:bCs w:val="0"/>
          <w:color w:val="auto"/>
          <w:sz w:val="24"/>
          <w:szCs w:val="21"/>
        </w:rPr>
      </w:pPr>
      <w:r>
        <w:rPr>
          <w:rFonts w:hint="default" w:ascii="宋体" w:hAnsi="宋体" w:eastAsia="宋体" w:cs="Arial"/>
          <w:b/>
          <w:bCs w:val="0"/>
          <w:color w:val="auto"/>
          <w:sz w:val="24"/>
          <w:szCs w:val="21"/>
        </w:rPr>
        <w:t>一、协议目的与适用范围</w:t>
      </w:r>
    </w:p>
    <w:p w14:paraId="631FE319">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1. 本项目为</w:t>
      </w:r>
      <w:r>
        <w:rPr>
          <w:rFonts w:hint="eastAsia" w:ascii="宋体" w:hAnsi="宋体" w:cs="Arial"/>
          <w:b w:val="0"/>
          <w:bCs/>
          <w:color w:val="auto"/>
          <w:sz w:val="24"/>
          <w:szCs w:val="21"/>
          <w:lang w:eastAsia="zh-CN"/>
        </w:rPr>
        <w:t>2026-2027年阜充电充电桩维保及场站零星维修供应商库</w:t>
      </w:r>
      <w:r>
        <w:rPr>
          <w:rFonts w:hint="default" w:ascii="宋体" w:hAnsi="宋体" w:eastAsia="宋体" w:cs="Arial"/>
          <w:b w:val="0"/>
          <w:bCs/>
          <w:color w:val="auto"/>
          <w:sz w:val="24"/>
          <w:szCs w:val="21"/>
        </w:rPr>
        <w:t>，服务范围覆盖阜阳市三区五县全域所有阜充电运营的充电场站，服务标的为甲方运营的全部新能源汽车充电桩（含直流充电桩、交流充电桩），包括质保期外维修、故障抢修、技术支持、预防性维护等服务。</w:t>
      </w:r>
    </w:p>
    <w:p w14:paraId="556289AF">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2. </w:t>
      </w:r>
      <w:r>
        <w:rPr>
          <w:rFonts w:hint="default" w:ascii="宋体" w:hAnsi="宋体" w:eastAsia="宋体" w:cs="Arial"/>
          <w:b w:val="0"/>
          <w:bCs/>
          <w:color w:val="auto"/>
          <w:sz w:val="24"/>
          <w:szCs w:val="21"/>
        </w:rPr>
        <w:t>本协议为供应商库入库框架协议，不构成甲方对乙方最低业务量、最低结算金额的承诺。具体项目以甲方派工单、订单或单个项目委托为准。</w:t>
      </w:r>
    </w:p>
    <w:p w14:paraId="1E8CD8B9">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5B9BD5" w:themeColor="accent1"/>
          <w:sz w:val="24"/>
          <w:szCs w:val="21"/>
          <w14:textFill>
            <w14:solidFill>
              <w14:schemeClr w14:val="accent1"/>
            </w14:solidFill>
          </w14:textFill>
        </w:rPr>
      </w:pPr>
      <w:r>
        <w:rPr>
          <w:rFonts w:hint="eastAsia" w:ascii="宋体" w:hAnsi="宋体" w:cs="Arial"/>
          <w:b w:val="0"/>
          <w:bCs/>
          <w:color w:val="auto"/>
          <w:sz w:val="24"/>
          <w:szCs w:val="21"/>
          <w:lang w:val="en-US" w:eastAsia="zh-CN"/>
        </w:rPr>
        <w:t xml:space="preserve">3. </w:t>
      </w:r>
      <w:r>
        <w:rPr>
          <w:rFonts w:hint="default" w:ascii="宋体" w:hAnsi="宋体" w:eastAsia="宋体" w:cs="Arial"/>
          <w:b w:val="0"/>
          <w:bCs/>
          <w:color w:val="auto"/>
          <w:sz w:val="24"/>
          <w:szCs w:val="21"/>
        </w:rPr>
        <w:t>本协议适用于甲方指定阜阳行政区域内各充电场站现场。合同服务期限采用“1+1”年模式，即基础服务期为自供应商库组建完成之日起1年；经年度综合考核合格且采购人业务需要，可续签1年</w:t>
      </w:r>
      <w:r>
        <w:rPr>
          <w:rFonts w:hint="default" w:ascii="宋体" w:hAnsi="宋体" w:eastAsia="宋体" w:cs="Arial"/>
          <w:b w:val="0"/>
          <w:bCs/>
          <w:color w:val="5B9BD5" w:themeColor="accent1"/>
          <w:sz w:val="24"/>
          <w:szCs w:val="21"/>
          <w14:textFill>
            <w14:solidFill>
              <w14:schemeClr w14:val="accent1"/>
            </w14:solidFill>
          </w14:textFill>
        </w:rPr>
        <w:t>。</w:t>
      </w:r>
    </w:p>
    <w:p w14:paraId="39957788">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2" w:firstLineChars="200"/>
        <w:textAlignment w:val="auto"/>
        <w:rPr>
          <w:rFonts w:hint="default" w:ascii="宋体" w:hAnsi="宋体" w:eastAsia="宋体" w:cs="Arial"/>
          <w:b/>
          <w:bCs w:val="0"/>
          <w:color w:val="auto"/>
          <w:sz w:val="24"/>
          <w:szCs w:val="21"/>
        </w:rPr>
      </w:pPr>
      <w:r>
        <w:rPr>
          <w:rFonts w:hint="eastAsia" w:ascii="宋体" w:hAnsi="宋体" w:cs="Arial"/>
          <w:b/>
          <w:bCs w:val="0"/>
          <w:color w:val="auto"/>
          <w:sz w:val="24"/>
          <w:szCs w:val="21"/>
          <w:lang w:val="en-US" w:eastAsia="zh-CN"/>
        </w:rPr>
        <w:t>二</w:t>
      </w:r>
      <w:r>
        <w:rPr>
          <w:rFonts w:hint="default" w:ascii="宋体" w:hAnsi="宋体" w:eastAsia="宋体" w:cs="Arial"/>
          <w:b/>
          <w:bCs w:val="0"/>
          <w:color w:val="auto"/>
          <w:sz w:val="24"/>
          <w:szCs w:val="21"/>
        </w:rPr>
        <w:t>、服务内容与要求</w:t>
      </w:r>
    </w:p>
    <w:p w14:paraId="03C965B1">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eastAsia" w:ascii="宋体" w:hAnsi="宋体" w:cs="Arial"/>
          <w:b/>
          <w:bCs w:val="0"/>
          <w:color w:val="auto"/>
          <w:sz w:val="24"/>
          <w:szCs w:val="21"/>
          <w:lang w:val="en-US" w:eastAsia="zh-CN"/>
        </w:rPr>
      </w:pPr>
      <w:r>
        <w:rPr>
          <w:rFonts w:hint="eastAsia" w:ascii="宋体" w:hAnsi="宋体" w:eastAsia="宋体" w:cs="Arial"/>
          <w:b w:val="0"/>
          <w:bCs/>
          <w:color w:val="auto"/>
          <w:sz w:val="24"/>
          <w:szCs w:val="21"/>
          <w:lang w:val="en-US" w:eastAsia="zh-CN"/>
        </w:rPr>
        <w:t>1.</w:t>
      </w:r>
      <w:r>
        <w:rPr>
          <w:rFonts w:hint="eastAsia" w:ascii="宋体" w:hAnsi="宋体" w:cs="Arial"/>
          <w:b/>
          <w:bCs w:val="0"/>
          <w:color w:val="auto"/>
          <w:sz w:val="24"/>
          <w:szCs w:val="21"/>
          <w:lang w:val="en-US" w:eastAsia="zh-CN"/>
        </w:rPr>
        <w:t xml:space="preserve"> 维修服务：</w:t>
      </w:r>
    </w:p>
    <w:p w14:paraId="3E7A1BA4">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eastAsia="宋体" w:cs="Arial"/>
          <w:b w:val="0"/>
          <w:bCs/>
          <w:color w:val="auto"/>
          <w:sz w:val="24"/>
          <w:szCs w:val="21"/>
          <w:lang w:val="en-US" w:eastAsia="zh-CN"/>
        </w:rPr>
        <w:t>（1）</w:t>
      </w:r>
      <w:r>
        <w:rPr>
          <w:rFonts w:hint="default" w:ascii="宋体" w:hAnsi="宋体" w:eastAsia="宋体" w:cs="Arial"/>
          <w:b w:val="0"/>
          <w:bCs/>
          <w:color w:val="auto"/>
          <w:sz w:val="24"/>
          <w:szCs w:val="21"/>
          <w:lang w:val="en-US" w:eastAsia="zh-CN"/>
        </w:rPr>
        <w:t>充</w:t>
      </w:r>
      <w:r>
        <w:rPr>
          <w:rFonts w:hint="default" w:ascii="宋体" w:hAnsi="宋体" w:eastAsia="宋体" w:cs="Arial"/>
          <w:b w:val="0"/>
          <w:bCs/>
          <w:color w:val="auto"/>
          <w:sz w:val="24"/>
          <w:szCs w:val="21"/>
        </w:rPr>
        <w:t>电桩设备维保服务：包含各类交直流充电桩、充电模块、控制器、通讯设备、接线线路、配电辅助设备的日常巡检、清洁养护、性能检测、故障排查、应急抢修、软件调试、紧固润滑、电气安全测试、隐患排查、维保记录归档等常规维保工作；</w:t>
      </w:r>
    </w:p>
    <w:p w14:paraId="16D2840F">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eastAsia="宋体" w:cs="Arial"/>
          <w:b w:val="0"/>
          <w:bCs/>
          <w:color w:val="auto"/>
          <w:sz w:val="24"/>
          <w:szCs w:val="21"/>
          <w:lang w:eastAsia="zh-CN"/>
        </w:rPr>
        <w:t>（</w:t>
      </w:r>
      <w:r>
        <w:rPr>
          <w:rFonts w:hint="eastAsia" w:ascii="宋体" w:hAnsi="宋体" w:eastAsia="宋体" w:cs="Arial"/>
          <w:b w:val="0"/>
          <w:bCs/>
          <w:color w:val="auto"/>
          <w:sz w:val="24"/>
          <w:szCs w:val="21"/>
          <w:lang w:val="en-US" w:eastAsia="zh-CN"/>
        </w:rPr>
        <w:t>2</w:t>
      </w:r>
      <w:r>
        <w:rPr>
          <w:rFonts w:hint="eastAsia" w:ascii="宋体" w:hAnsi="宋体" w:eastAsia="宋体" w:cs="Arial"/>
          <w:b w:val="0"/>
          <w:bCs/>
          <w:color w:val="auto"/>
          <w:sz w:val="24"/>
          <w:szCs w:val="21"/>
          <w:lang w:eastAsia="zh-CN"/>
        </w:rPr>
        <w:t>）</w:t>
      </w:r>
      <w:r>
        <w:rPr>
          <w:rFonts w:hint="default" w:ascii="宋体" w:hAnsi="宋体" w:eastAsia="宋体" w:cs="Arial"/>
          <w:b w:val="0"/>
          <w:bCs/>
          <w:color w:val="auto"/>
          <w:sz w:val="24"/>
          <w:szCs w:val="21"/>
        </w:rPr>
        <w:t>充电站零星维修：包含充电站配电设施、监控设备、照明系统、消防辅助设施、接地系统、充电配套附属设备的零星损坏维修、部件检修、局部改造修复、系统调试</w:t>
      </w:r>
      <w:r>
        <w:rPr>
          <w:rFonts w:hint="eastAsia" w:ascii="宋体" w:hAnsi="宋体" w:cs="Arial"/>
          <w:b w:val="0"/>
          <w:bCs/>
          <w:color w:val="auto"/>
          <w:sz w:val="24"/>
          <w:szCs w:val="21"/>
          <w:lang w:eastAsia="zh-CN"/>
        </w:rPr>
        <w:t>、设备基础轻微修整、站内小型防水补漏、场地零星整改</w:t>
      </w:r>
      <w:r>
        <w:rPr>
          <w:rFonts w:hint="default" w:ascii="宋体" w:hAnsi="宋体" w:eastAsia="宋体" w:cs="Arial"/>
          <w:b w:val="0"/>
          <w:bCs/>
          <w:color w:val="auto"/>
          <w:sz w:val="24"/>
          <w:szCs w:val="21"/>
        </w:rPr>
        <w:t>等小型零星维修作业；</w:t>
      </w:r>
    </w:p>
    <w:p w14:paraId="54325805">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eastAsia="宋体" w:cs="Arial"/>
          <w:b w:val="0"/>
          <w:bCs/>
          <w:color w:val="auto"/>
          <w:sz w:val="24"/>
          <w:szCs w:val="21"/>
          <w:lang w:eastAsia="zh-CN"/>
        </w:rPr>
        <w:t>（</w:t>
      </w:r>
      <w:r>
        <w:rPr>
          <w:rFonts w:hint="eastAsia" w:ascii="宋体" w:hAnsi="宋体" w:eastAsia="宋体" w:cs="Arial"/>
          <w:b w:val="0"/>
          <w:bCs/>
          <w:color w:val="auto"/>
          <w:sz w:val="24"/>
          <w:szCs w:val="21"/>
          <w:lang w:val="en-US" w:eastAsia="zh-CN"/>
        </w:rPr>
        <w:t>3</w:t>
      </w:r>
      <w:r>
        <w:rPr>
          <w:rFonts w:hint="eastAsia" w:ascii="宋体" w:hAnsi="宋体" w:eastAsia="宋体" w:cs="Arial"/>
          <w:b w:val="0"/>
          <w:bCs/>
          <w:color w:val="auto"/>
          <w:sz w:val="24"/>
          <w:szCs w:val="21"/>
          <w:lang w:eastAsia="zh-CN"/>
        </w:rPr>
        <w:t>）</w:t>
      </w:r>
      <w:r>
        <w:rPr>
          <w:rFonts w:hint="default" w:ascii="宋体" w:hAnsi="宋体" w:eastAsia="宋体" w:cs="Arial"/>
          <w:b w:val="0"/>
          <w:bCs/>
          <w:color w:val="auto"/>
          <w:sz w:val="24"/>
          <w:szCs w:val="21"/>
        </w:rPr>
        <w:t>甲方临时指派的、与充电站正常运营相关的其他小型维修、整改、养护服务（以双方确认的工单为准）。</w:t>
      </w:r>
    </w:p>
    <w:p w14:paraId="6BC660D0">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2. </w:t>
      </w:r>
      <w:r>
        <w:rPr>
          <w:rFonts w:hint="default" w:ascii="宋体" w:hAnsi="宋体" w:eastAsia="宋体" w:cs="Arial"/>
          <w:b/>
          <w:bCs w:val="0"/>
          <w:color w:val="auto"/>
          <w:sz w:val="24"/>
          <w:szCs w:val="21"/>
        </w:rPr>
        <w:t>应急抢修服务</w:t>
      </w:r>
      <w:r>
        <w:rPr>
          <w:rFonts w:hint="default" w:ascii="宋体" w:hAnsi="宋体" w:eastAsia="宋体" w:cs="Arial"/>
          <w:b w:val="0"/>
          <w:bCs/>
          <w:color w:val="auto"/>
          <w:sz w:val="24"/>
          <w:szCs w:val="21"/>
        </w:rPr>
        <w:t>： 针对节假日、台风等突发批量故障场景，提供7×24小时应急抢修服务。</w:t>
      </w:r>
    </w:p>
    <w:p w14:paraId="13667FC3">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3. </w:t>
      </w:r>
      <w:r>
        <w:rPr>
          <w:rFonts w:hint="default" w:ascii="宋体" w:hAnsi="宋体" w:eastAsia="宋体" w:cs="Arial"/>
          <w:b/>
          <w:bCs w:val="0"/>
          <w:color w:val="auto"/>
          <w:sz w:val="24"/>
          <w:szCs w:val="21"/>
        </w:rPr>
        <w:t>技术支持服务</w:t>
      </w:r>
      <w:r>
        <w:rPr>
          <w:rFonts w:hint="default" w:ascii="宋体" w:hAnsi="宋体" w:eastAsia="宋体" w:cs="Arial"/>
          <w:b w:val="0"/>
          <w:bCs/>
          <w:color w:val="auto"/>
          <w:sz w:val="24"/>
          <w:szCs w:val="21"/>
        </w:rPr>
        <w:t>： 为甲方提供充电桩技术咨询、培训、升级改造技术支持等服务。</w:t>
      </w:r>
    </w:p>
    <w:p w14:paraId="4FD0D19B">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4. </w:t>
      </w:r>
      <w:r>
        <w:rPr>
          <w:rFonts w:hint="default" w:ascii="宋体" w:hAnsi="宋体" w:eastAsia="宋体" w:cs="Arial"/>
          <w:b/>
          <w:bCs w:val="0"/>
          <w:color w:val="auto"/>
          <w:sz w:val="24"/>
          <w:szCs w:val="21"/>
        </w:rPr>
        <w:t>台账管理服务</w:t>
      </w:r>
      <w:r>
        <w:rPr>
          <w:rFonts w:hint="default" w:ascii="宋体" w:hAnsi="宋体" w:eastAsia="宋体" w:cs="Arial"/>
          <w:b w:val="0"/>
          <w:bCs/>
          <w:color w:val="auto"/>
          <w:sz w:val="24"/>
          <w:szCs w:val="21"/>
        </w:rPr>
        <w:t>： 建立完善的维修台账，按月向甲方提交服务报告、故障分析报告、维修日志等资料。</w:t>
      </w:r>
    </w:p>
    <w:p w14:paraId="12C25CA4">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5. </w:t>
      </w:r>
      <w:r>
        <w:rPr>
          <w:rFonts w:hint="default" w:ascii="宋体" w:hAnsi="宋体" w:eastAsia="宋体" w:cs="Arial"/>
          <w:b/>
          <w:bCs w:val="0"/>
          <w:color w:val="auto"/>
          <w:sz w:val="24"/>
          <w:szCs w:val="21"/>
        </w:rPr>
        <w:t>其他相关服务</w:t>
      </w:r>
      <w:r>
        <w:rPr>
          <w:rFonts w:hint="default" w:ascii="宋体" w:hAnsi="宋体" w:eastAsia="宋体" w:cs="Arial"/>
          <w:b w:val="0"/>
          <w:bCs/>
          <w:color w:val="auto"/>
          <w:sz w:val="24"/>
          <w:szCs w:val="21"/>
        </w:rPr>
        <w:t>： 配合甲方完成场站验收、专项检查、客户投诉处理等相关工作。</w:t>
      </w:r>
    </w:p>
    <w:p w14:paraId="152D82C5">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6. </w:t>
      </w:r>
      <w:r>
        <w:rPr>
          <w:rFonts w:hint="default" w:ascii="宋体" w:hAnsi="宋体" w:eastAsia="宋体" w:cs="Arial"/>
          <w:b/>
          <w:bCs w:val="0"/>
          <w:color w:val="auto"/>
          <w:sz w:val="24"/>
          <w:szCs w:val="21"/>
        </w:rPr>
        <w:t>响应时效</w:t>
      </w:r>
      <w:r>
        <w:rPr>
          <w:rFonts w:hint="default" w:ascii="宋体" w:hAnsi="宋体" w:eastAsia="宋体" w:cs="Arial"/>
          <w:b w:val="0"/>
          <w:bCs/>
          <w:color w:val="auto"/>
          <w:sz w:val="24"/>
          <w:szCs w:val="21"/>
        </w:rPr>
        <w:t>：</w:t>
      </w:r>
    </w:p>
    <w:p w14:paraId="567C7D4E">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eastAsia="zh-CN"/>
        </w:rPr>
        <w:t>（</w:t>
      </w:r>
      <w:r>
        <w:rPr>
          <w:rFonts w:hint="eastAsia" w:ascii="宋体" w:hAnsi="宋体" w:cs="Arial"/>
          <w:b w:val="0"/>
          <w:bCs/>
          <w:color w:val="auto"/>
          <w:sz w:val="24"/>
          <w:szCs w:val="21"/>
          <w:lang w:val="en-US" w:eastAsia="zh-CN"/>
        </w:rPr>
        <w:t>1</w:t>
      </w:r>
      <w:r>
        <w:rPr>
          <w:rFonts w:hint="eastAsia" w:ascii="宋体" w:hAnsi="宋体" w:cs="Arial"/>
          <w:b w:val="0"/>
          <w:bCs/>
          <w:color w:val="auto"/>
          <w:sz w:val="24"/>
          <w:szCs w:val="21"/>
          <w:lang w:eastAsia="zh-CN"/>
        </w:rPr>
        <w:t>）</w:t>
      </w:r>
      <w:r>
        <w:rPr>
          <w:rFonts w:hint="default" w:ascii="宋体" w:hAnsi="宋体" w:eastAsia="宋体" w:cs="Arial"/>
          <w:b w:val="0"/>
          <w:bCs/>
          <w:color w:val="auto"/>
          <w:sz w:val="24"/>
          <w:szCs w:val="21"/>
        </w:rPr>
        <w:t>故障响应：接报后30分钟内响应，与故障上报人沟通确认故障情况；</w:t>
      </w:r>
    </w:p>
    <w:p w14:paraId="305A5A30">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eastAsia" w:ascii="宋体" w:hAnsi="宋体" w:eastAsia="宋体" w:cs="Arial"/>
          <w:b w:val="0"/>
          <w:bCs/>
          <w:color w:val="auto"/>
          <w:sz w:val="24"/>
          <w:szCs w:val="21"/>
          <w:lang w:eastAsia="zh-CN"/>
        </w:rPr>
      </w:pPr>
      <w:r>
        <w:rPr>
          <w:rFonts w:hint="eastAsia" w:ascii="宋体" w:hAnsi="宋体" w:cs="Arial"/>
          <w:b w:val="0"/>
          <w:bCs/>
          <w:color w:val="auto"/>
          <w:sz w:val="24"/>
          <w:szCs w:val="21"/>
          <w:lang w:eastAsia="zh-CN"/>
        </w:rPr>
        <w:t>（</w:t>
      </w:r>
      <w:r>
        <w:rPr>
          <w:rFonts w:hint="eastAsia" w:ascii="宋体" w:hAnsi="宋体" w:cs="Arial"/>
          <w:b w:val="0"/>
          <w:bCs/>
          <w:color w:val="auto"/>
          <w:sz w:val="24"/>
          <w:szCs w:val="21"/>
          <w:lang w:val="en-US" w:eastAsia="zh-CN"/>
        </w:rPr>
        <w:t>2</w:t>
      </w:r>
      <w:r>
        <w:rPr>
          <w:rFonts w:hint="eastAsia" w:ascii="宋体" w:hAnsi="宋体" w:cs="Arial"/>
          <w:b w:val="0"/>
          <w:bCs/>
          <w:color w:val="auto"/>
          <w:sz w:val="24"/>
          <w:szCs w:val="21"/>
          <w:lang w:eastAsia="zh-CN"/>
        </w:rPr>
        <w:t>）</w:t>
      </w:r>
      <w:r>
        <w:rPr>
          <w:rFonts w:hint="default" w:ascii="宋体" w:hAnsi="宋体" w:eastAsia="宋体" w:cs="Arial"/>
          <w:b w:val="0"/>
          <w:bCs/>
          <w:color w:val="auto"/>
          <w:sz w:val="24"/>
          <w:szCs w:val="21"/>
        </w:rPr>
        <w:t>到场</w:t>
      </w:r>
      <w:r>
        <w:rPr>
          <w:rFonts w:hint="eastAsia" w:ascii="宋体" w:hAnsi="宋体" w:cs="Arial"/>
          <w:b w:val="0"/>
          <w:bCs/>
          <w:color w:val="auto"/>
          <w:sz w:val="24"/>
          <w:szCs w:val="21"/>
          <w:lang w:val="en-US" w:eastAsia="zh-CN"/>
        </w:rPr>
        <w:t>及修复</w:t>
      </w:r>
      <w:r>
        <w:rPr>
          <w:rFonts w:hint="default" w:ascii="宋体" w:hAnsi="宋体" w:eastAsia="宋体" w:cs="Arial"/>
          <w:b w:val="0"/>
          <w:bCs/>
          <w:color w:val="auto"/>
          <w:sz w:val="24"/>
          <w:szCs w:val="21"/>
        </w:rPr>
        <w:t>时效：市区站点 2 小时内</w:t>
      </w:r>
      <w:r>
        <w:rPr>
          <w:rFonts w:hint="eastAsia" w:ascii="宋体" w:hAnsi="宋体" w:cs="Arial"/>
          <w:b w:val="0"/>
          <w:bCs/>
          <w:color w:val="auto"/>
          <w:sz w:val="24"/>
          <w:szCs w:val="21"/>
          <w:lang w:val="en-US" w:eastAsia="zh-CN"/>
        </w:rPr>
        <w:t>到场</w:t>
      </w:r>
      <w:r>
        <w:rPr>
          <w:rFonts w:hint="default" w:ascii="宋体" w:hAnsi="宋体" w:eastAsia="宋体" w:cs="Arial"/>
          <w:b w:val="0"/>
          <w:bCs/>
          <w:color w:val="auto"/>
          <w:sz w:val="24"/>
          <w:szCs w:val="21"/>
        </w:rPr>
        <w:t>、24 小时内完成常规故障修复；偏远站点 4 小时内</w:t>
      </w:r>
      <w:r>
        <w:rPr>
          <w:rFonts w:hint="eastAsia" w:ascii="宋体" w:hAnsi="宋体" w:cs="Arial"/>
          <w:b w:val="0"/>
          <w:bCs/>
          <w:color w:val="auto"/>
          <w:sz w:val="24"/>
          <w:szCs w:val="21"/>
          <w:lang w:val="en-US" w:eastAsia="zh-CN"/>
        </w:rPr>
        <w:t>到场</w:t>
      </w:r>
      <w:r>
        <w:rPr>
          <w:rFonts w:hint="default" w:ascii="宋体" w:hAnsi="宋体" w:eastAsia="宋体" w:cs="Arial"/>
          <w:b w:val="0"/>
          <w:bCs/>
          <w:color w:val="auto"/>
          <w:sz w:val="24"/>
          <w:szCs w:val="21"/>
        </w:rPr>
        <w:t>、48 小时内完成常规故障修复；重大紧急故障需第一时间到场处置，优先保障充电站正常运营，无法及时修复的，需书面告知甲方故障原因、整改方案及完成时限</w:t>
      </w:r>
      <w:r>
        <w:rPr>
          <w:rFonts w:hint="eastAsia" w:ascii="宋体" w:hAnsi="宋体" w:cs="Arial"/>
          <w:b w:val="0"/>
          <w:bCs/>
          <w:color w:val="auto"/>
          <w:sz w:val="24"/>
          <w:szCs w:val="21"/>
          <w:lang w:eastAsia="zh-CN"/>
        </w:rPr>
        <w:t>。</w:t>
      </w:r>
    </w:p>
    <w:p w14:paraId="6102A8D5">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7. </w:t>
      </w:r>
      <w:r>
        <w:rPr>
          <w:rFonts w:hint="default" w:ascii="宋体" w:hAnsi="宋体" w:eastAsia="宋体" w:cs="Arial"/>
          <w:b/>
          <w:bCs w:val="0"/>
          <w:color w:val="auto"/>
          <w:sz w:val="24"/>
          <w:szCs w:val="21"/>
        </w:rPr>
        <w:t>人员要求</w:t>
      </w:r>
      <w:r>
        <w:rPr>
          <w:rFonts w:hint="default" w:ascii="宋体" w:hAnsi="宋体" w:eastAsia="宋体" w:cs="Arial"/>
          <w:b w:val="0"/>
          <w:bCs/>
          <w:color w:val="auto"/>
          <w:sz w:val="24"/>
          <w:szCs w:val="21"/>
        </w:rPr>
        <w:t>： 拟投入本项目的维修人员须持有有效的高</w:t>
      </w:r>
      <w:r>
        <w:rPr>
          <w:rFonts w:hint="eastAsia" w:ascii="宋体" w:hAnsi="宋体" w:cs="Arial"/>
          <w:b w:val="0"/>
          <w:bCs/>
          <w:color w:val="auto"/>
          <w:sz w:val="24"/>
          <w:szCs w:val="21"/>
          <w:lang w:eastAsia="zh-CN"/>
        </w:rPr>
        <w:t>、</w:t>
      </w:r>
      <w:r>
        <w:rPr>
          <w:rFonts w:hint="default" w:ascii="宋体" w:hAnsi="宋体" w:eastAsia="宋体" w:cs="Arial"/>
          <w:b w:val="0"/>
          <w:bCs/>
          <w:color w:val="auto"/>
          <w:sz w:val="24"/>
          <w:szCs w:val="21"/>
        </w:rPr>
        <w:t>低压电工特种作业操作证，具备充电桩维修相关经验，熟悉主流充电桩品牌设备原理和维修技术，并提供近3个月在本单位的社保证明。</w:t>
      </w:r>
    </w:p>
    <w:p w14:paraId="45D35D40">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8. </w:t>
      </w:r>
      <w:r>
        <w:rPr>
          <w:rFonts w:hint="default" w:ascii="宋体" w:hAnsi="宋体" w:eastAsia="宋体" w:cs="Arial"/>
          <w:b/>
          <w:bCs w:val="0"/>
          <w:color w:val="auto"/>
          <w:sz w:val="24"/>
          <w:szCs w:val="21"/>
        </w:rPr>
        <w:t>备品备件要求</w:t>
      </w:r>
      <w:r>
        <w:rPr>
          <w:rFonts w:hint="default" w:ascii="宋体" w:hAnsi="宋体" w:eastAsia="宋体" w:cs="Arial"/>
          <w:b w:val="0"/>
          <w:bCs/>
          <w:color w:val="auto"/>
          <w:sz w:val="24"/>
          <w:szCs w:val="21"/>
        </w:rPr>
        <w:t>： 乙方须设有备品备件仓库，关键易损件（充电枪线、熔断器、继电器、功率模块等）须有现货库存；备品备件须为原厂正品，符合国家相关质量标准。</w:t>
      </w:r>
    </w:p>
    <w:p w14:paraId="74FFA819">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9. </w:t>
      </w:r>
      <w:r>
        <w:rPr>
          <w:rFonts w:hint="default" w:ascii="宋体" w:hAnsi="宋体" w:eastAsia="宋体" w:cs="Arial"/>
          <w:b/>
          <w:bCs w:val="0"/>
          <w:color w:val="auto"/>
          <w:sz w:val="24"/>
          <w:szCs w:val="21"/>
        </w:rPr>
        <w:t>质量要求</w:t>
      </w:r>
      <w:r>
        <w:rPr>
          <w:rFonts w:hint="default" w:ascii="宋体" w:hAnsi="宋体" w:eastAsia="宋体" w:cs="Arial"/>
          <w:b w:val="0"/>
          <w:bCs/>
          <w:color w:val="auto"/>
          <w:sz w:val="24"/>
          <w:szCs w:val="21"/>
        </w:rPr>
        <w:t>： 维修后设备须符合国家及行业相关标准，满足正常使用需求；维修更换配件须提供质保，其中维修部件质保6个月、更换部件质保1年，且不得低于国家及行业规定。维修过程须严格遵守安全操作规范，杜绝安全事故。</w:t>
      </w:r>
    </w:p>
    <w:p w14:paraId="42006459">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10. </w:t>
      </w:r>
      <w:r>
        <w:rPr>
          <w:rFonts w:hint="default" w:ascii="宋体" w:hAnsi="宋体" w:eastAsia="宋体" w:cs="Arial"/>
          <w:b/>
          <w:bCs w:val="0"/>
          <w:color w:val="auto"/>
          <w:sz w:val="24"/>
          <w:szCs w:val="21"/>
        </w:rPr>
        <w:t>安全要求</w:t>
      </w:r>
      <w:r>
        <w:rPr>
          <w:rFonts w:hint="default" w:ascii="宋体" w:hAnsi="宋体" w:eastAsia="宋体" w:cs="Arial"/>
          <w:b w:val="0"/>
          <w:bCs/>
          <w:color w:val="auto"/>
          <w:sz w:val="24"/>
          <w:szCs w:val="21"/>
        </w:rPr>
        <w:t>：乙方所有服务作业必须严格遵守国家《电动汽车充电基础设施建设与运营规范》《电气装置安装工程施工及验收规范》《建筑工程施工质量验收统一标准》等相关行业标准、安全规范及甲方站点运营管理制度，确保作业合规、质量达标、安全可控。乙方作业人员必须具备相应作业资质，持证上岗，严格遵守用电安全、施工安全操作规程，作业前做好安全防护、现场警示，杜绝违规操作、违章施工，杜绝安全事故发生。</w:t>
      </w:r>
    </w:p>
    <w:p w14:paraId="4FB58304">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2" w:firstLineChars="200"/>
        <w:textAlignment w:val="auto"/>
        <w:rPr>
          <w:rFonts w:hint="default" w:ascii="宋体" w:hAnsi="宋体" w:eastAsia="宋体" w:cs="Arial"/>
          <w:b/>
          <w:bCs w:val="0"/>
          <w:color w:val="auto"/>
          <w:sz w:val="24"/>
          <w:szCs w:val="21"/>
        </w:rPr>
      </w:pPr>
      <w:r>
        <w:rPr>
          <w:rFonts w:hint="eastAsia" w:ascii="宋体" w:hAnsi="宋体" w:cs="Arial"/>
          <w:b/>
          <w:bCs w:val="0"/>
          <w:color w:val="auto"/>
          <w:sz w:val="24"/>
          <w:szCs w:val="21"/>
          <w:lang w:val="en-US" w:eastAsia="zh-CN"/>
        </w:rPr>
        <w:t>三</w:t>
      </w:r>
      <w:r>
        <w:rPr>
          <w:rFonts w:hint="default" w:ascii="宋体" w:hAnsi="宋体" w:eastAsia="宋体" w:cs="Arial"/>
          <w:b/>
          <w:bCs w:val="0"/>
          <w:color w:val="auto"/>
          <w:sz w:val="24"/>
          <w:szCs w:val="21"/>
        </w:rPr>
        <w:t>、价格与结算方式</w:t>
      </w:r>
    </w:p>
    <w:p w14:paraId="21DC888B">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（一）价格确定原则</w:t>
      </w:r>
    </w:p>
    <w:p w14:paraId="5300F479">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1. 原则上全库统一协议单价按3家入库供应商有效单项报价的算术平均值确定，保留两位小数，全库统一执行；</w:t>
      </w:r>
    </w:p>
    <w:p w14:paraId="24C2FCA9">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2. 若入库供应商为小规模纳税人，其</w:t>
      </w:r>
      <w:r>
        <w:rPr>
          <w:rFonts w:hint="eastAsia" w:ascii="宋体" w:hAnsi="宋体" w:cs="Arial"/>
          <w:b w:val="0"/>
          <w:bCs/>
          <w:color w:val="auto"/>
          <w:sz w:val="24"/>
          <w:szCs w:val="21"/>
          <w:lang w:val="en-US" w:eastAsia="zh-CN"/>
        </w:rPr>
        <w:t>入库协议单价</w:t>
      </w:r>
      <w:r>
        <w:rPr>
          <w:rFonts w:hint="default" w:ascii="宋体" w:hAnsi="宋体" w:eastAsia="宋体" w:cs="Arial"/>
          <w:b w:val="0"/>
          <w:bCs/>
          <w:color w:val="auto"/>
          <w:sz w:val="24"/>
          <w:szCs w:val="21"/>
        </w:rPr>
        <w:t>＝全库统一协议单价÷1.06×（1＋实际税率）</w:t>
      </w:r>
      <w:r>
        <w:rPr>
          <w:rFonts w:hint="eastAsia" w:ascii="宋体" w:hAnsi="宋体" w:cs="Arial"/>
          <w:b w:val="0"/>
          <w:bCs/>
          <w:color w:val="auto"/>
          <w:sz w:val="24"/>
          <w:szCs w:val="21"/>
          <w:lang w:eastAsia="zh-CN"/>
        </w:rPr>
        <w:t>，</w:t>
      </w:r>
      <w:r>
        <w:rPr>
          <w:rFonts w:hint="eastAsia" w:ascii="宋体" w:hAnsi="宋体" w:cs="Arial"/>
          <w:b w:val="0"/>
          <w:bCs/>
          <w:color w:val="auto"/>
          <w:sz w:val="24"/>
          <w:szCs w:val="21"/>
          <w:lang w:val="en-US" w:eastAsia="zh-CN"/>
        </w:rPr>
        <w:t>若因税率调整超出全库统一协议单价，超出的部分乙方自己承担</w:t>
      </w:r>
      <w:r>
        <w:rPr>
          <w:rFonts w:hint="default" w:ascii="宋体" w:hAnsi="宋体" w:eastAsia="宋体" w:cs="Arial"/>
          <w:b w:val="0"/>
          <w:bCs/>
          <w:color w:val="auto"/>
          <w:sz w:val="24"/>
          <w:szCs w:val="21"/>
        </w:rPr>
        <w:t>。</w:t>
      </w:r>
    </w:p>
    <w:p w14:paraId="16C99801">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eastAsia" w:ascii="宋体" w:hAnsi="宋体" w:cs="Arial"/>
          <w:b w:val="0"/>
          <w:bCs/>
          <w:color w:val="auto"/>
          <w:sz w:val="24"/>
          <w:szCs w:val="21"/>
          <w:lang w:val="en-US" w:eastAsia="zh-CN"/>
        </w:rPr>
      </w:pPr>
      <w:r>
        <w:rPr>
          <w:rFonts w:hint="eastAsia" w:ascii="宋体" w:hAnsi="宋体" w:cs="Arial"/>
          <w:b w:val="0"/>
          <w:bCs/>
          <w:color w:val="auto"/>
          <w:sz w:val="24"/>
          <w:szCs w:val="21"/>
          <w:lang w:val="en-US" w:eastAsia="zh-CN"/>
        </w:rPr>
        <w:t>3.合同期内不调价，不因市场波动、工程量变化而调价。</w:t>
      </w:r>
    </w:p>
    <w:p w14:paraId="3F0F2BFF">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cs="Arial"/>
          <w:b w:val="0"/>
          <w:bCs/>
          <w:color w:val="auto"/>
          <w:sz w:val="24"/>
          <w:szCs w:val="21"/>
          <w:lang w:val="en-US" w:eastAsia="zh-CN"/>
        </w:rPr>
      </w:pPr>
      <w:r>
        <w:rPr>
          <w:rFonts w:hint="eastAsia" w:ascii="宋体" w:hAnsi="宋体" w:cs="Arial"/>
          <w:b w:val="0"/>
          <w:bCs/>
          <w:color w:val="auto"/>
          <w:sz w:val="24"/>
          <w:szCs w:val="21"/>
          <w:lang w:val="en-US" w:eastAsia="zh-CN"/>
        </w:rPr>
        <w:t>4.</w:t>
      </w:r>
      <w:r>
        <w:rPr>
          <w:rFonts w:hint="default" w:ascii="宋体" w:hAnsi="宋体" w:cs="Arial"/>
          <w:b w:val="0"/>
          <w:bCs/>
          <w:color w:val="auto"/>
          <w:sz w:val="24"/>
          <w:szCs w:val="21"/>
          <w:lang w:val="en-US" w:eastAsia="zh-CN"/>
        </w:rPr>
        <w:t>对于清单以外、新增规格、新增类型或工艺复杂的维修清单项，由甲方发出书面需求后，入库供应商应在24小时内进行报价，甲方根据报价合理性、响应效率等</w:t>
      </w:r>
      <w:r>
        <w:rPr>
          <w:rFonts w:hint="eastAsia" w:ascii="宋体" w:hAnsi="宋体" w:cs="Arial"/>
          <w:b w:val="0"/>
          <w:bCs/>
          <w:color w:val="auto"/>
          <w:sz w:val="24"/>
          <w:szCs w:val="21"/>
          <w:lang w:val="en-US" w:eastAsia="zh-CN"/>
        </w:rPr>
        <w:t>因素</w:t>
      </w:r>
      <w:r>
        <w:rPr>
          <w:rFonts w:hint="default" w:ascii="宋体" w:hAnsi="宋体" w:cs="Arial"/>
          <w:b w:val="0"/>
          <w:bCs/>
          <w:color w:val="auto"/>
          <w:sz w:val="24"/>
          <w:szCs w:val="21"/>
          <w:lang w:val="en-US" w:eastAsia="zh-CN"/>
        </w:rPr>
        <w:t>综合确定实施单位及最终单价，双方书面确认后作为结算依据。</w:t>
      </w:r>
    </w:p>
    <w:p w14:paraId="7BAD29BF">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（二）结算依据与流程</w:t>
      </w:r>
    </w:p>
    <w:p w14:paraId="7279D0A6">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1.</w:t>
      </w:r>
      <w:r>
        <w:rPr>
          <w:rFonts w:hint="eastAsia" w:ascii="宋体" w:hAnsi="宋体" w:cs="Arial"/>
          <w:b w:val="0"/>
          <w:bCs/>
          <w:color w:val="auto"/>
          <w:sz w:val="24"/>
          <w:szCs w:val="21"/>
          <w:lang w:val="en-US" w:eastAsia="zh-CN"/>
        </w:rPr>
        <w:t xml:space="preserve"> </w:t>
      </w:r>
      <w:r>
        <w:rPr>
          <w:rFonts w:hint="default" w:ascii="宋体" w:hAnsi="宋体" w:eastAsia="宋体" w:cs="Arial"/>
          <w:b w:val="0"/>
          <w:bCs/>
          <w:color w:val="auto"/>
          <w:sz w:val="24"/>
          <w:szCs w:val="21"/>
        </w:rPr>
        <w:t>实际结算金额＝入库协议单价×甲方验收合格的实际工程量。</w:t>
      </w:r>
    </w:p>
    <w:p w14:paraId="7491CF8D">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小规模纳税人实际结算金额＝其入库协议单价×甲方验收合格的实际工程量。</w:t>
      </w:r>
    </w:p>
    <w:p w14:paraId="23465A57">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2. 本项目无预付款，按月度结算，次月结算上月维修完成且验收合格的项目。每次付款前，乙方须向甲方开具符合要求的正规增值税专用发票，否则甲方有权拒绝付款。支付依据包括：甲方下发的派工单、经双方确认通过的验收单、维修及安装服务施工资料（包括但不限于照片、合格证书、调试报告、维修日志等）、发票、支付申请单、合同。甲方收到乙方完整结算资料及合规发票后，15 个工作日内完成审核，审核无误后通过对公账户向乙方支付对应已验收合格项目的服务费用。</w:t>
      </w:r>
    </w:p>
    <w:p w14:paraId="644333FD">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3. 乙方须开具合规增值税专用发票。因</w:t>
      </w:r>
      <w:r>
        <w:rPr>
          <w:rFonts w:hint="eastAsia" w:ascii="宋体" w:hAnsi="宋体" w:cs="Arial"/>
          <w:b w:val="0"/>
          <w:bCs/>
          <w:color w:val="auto"/>
          <w:sz w:val="24"/>
          <w:szCs w:val="21"/>
          <w:lang w:val="en-US" w:eastAsia="zh-CN"/>
        </w:rPr>
        <w:t>乙方</w:t>
      </w:r>
      <w:r>
        <w:rPr>
          <w:rFonts w:hint="default" w:ascii="宋体" w:hAnsi="宋体" w:eastAsia="宋体" w:cs="Arial"/>
          <w:b w:val="0"/>
          <w:bCs/>
          <w:color w:val="auto"/>
          <w:sz w:val="24"/>
          <w:szCs w:val="21"/>
        </w:rPr>
        <w:t>不能开具专票导致甲方无法抵扣的，相应损失由</w:t>
      </w:r>
      <w:r>
        <w:rPr>
          <w:rFonts w:hint="eastAsia" w:ascii="宋体" w:hAnsi="宋体" w:cs="Arial"/>
          <w:b w:val="0"/>
          <w:bCs/>
          <w:color w:val="auto"/>
          <w:sz w:val="24"/>
          <w:szCs w:val="21"/>
          <w:lang w:val="en-US" w:eastAsia="zh-CN"/>
        </w:rPr>
        <w:t>乙方</w:t>
      </w:r>
      <w:r>
        <w:rPr>
          <w:rFonts w:hint="default" w:ascii="宋体" w:hAnsi="宋体" w:eastAsia="宋体" w:cs="Arial"/>
          <w:b w:val="0"/>
          <w:bCs/>
          <w:color w:val="auto"/>
          <w:sz w:val="24"/>
          <w:szCs w:val="21"/>
        </w:rPr>
        <w:t>承担。</w:t>
      </w:r>
    </w:p>
    <w:p w14:paraId="198BE816">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2" w:firstLineChars="200"/>
        <w:textAlignment w:val="auto"/>
        <w:rPr>
          <w:rFonts w:hint="default" w:ascii="宋体" w:hAnsi="宋体" w:eastAsia="宋体" w:cs="Arial"/>
          <w:b/>
          <w:bCs w:val="0"/>
          <w:color w:val="auto"/>
          <w:sz w:val="24"/>
          <w:szCs w:val="21"/>
          <w:lang w:val="en-US" w:eastAsia="zh-CN"/>
        </w:rPr>
      </w:pPr>
      <w:r>
        <w:rPr>
          <w:rFonts w:hint="eastAsia" w:ascii="宋体" w:hAnsi="宋体" w:cs="Arial"/>
          <w:b/>
          <w:bCs w:val="0"/>
          <w:color w:val="auto"/>
          <w:sz w:val="24"/>
          <w:szCs w:val="21"/>
          <w:lang w:val="en-US" w:eastAsia="zh-CN"/>
        </w:rPr>
        <w:t>四</w:t>
      </w:r>
      <w:r>
        <w:rPr>
          <w:rFonts w:hint="default" w:ascii="宋体" w:hAnsi="宋体" w:eastAsia="宋体" w:cs="Arial"/>
          <w:b/>
          <w:bCs w:val="0"/>
          <w:color w:val="auto"/>
          <w:sz w:val="24"/>
          <w:szCs w:val="21"/>
        </w:rPr>
        <w:t>、履约担保</w:t>
      </w:r>
      <w:r>
        <w:rPr>
          <w:rFonts w:hint="eastAsia" w:ascii="宋体" w:hAnsi="宋体" w:cs="Arial"/>
          <w:b/>
          <w:bCs w:val="0"/>
          <w:color w:val="auto"/>
          <w:sz w:val="24"/>
          <w:szCs w:val="21"/>
          <w:lang w:val="en-US" w:eastAsia="zh-CN"/>
        </w:rPr>
        <w:t>与验收</w:t>
      </w:r>
    </w:p>
    <w:p w14:paraId="31260531">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1. 乙方采用</w:t>
      </w:r>
      <w:r>
        <w:rPr>
          <w:rFonts w:hint="eastAsia" w:ascii="宋体" w:hAnsi="宋体" w:cs="Arial"/>
          <w:b w:val="0"/>
          <w:bCs/>
          <w:color w:val="auto"/>
          <w:sz w:val="24"/>
          <w:szCs w:val="21"/>
          <w:lang w:val="en-US" w:eastAsia="zh-CN"/>
        </w:rPr>
        <w:t>银行转账</w:t>
      </w:r>
      <w:bookmarkStart w:id="307" w:name="_GoBack"/>
      <w:bookmarkEnd w:id="307"/>
      <w:r>
        <w:rPr>
          <w:rFonts w:hint="default" w:ascii="宋体" w:hAnsi="宋体" w:eastAsia="宋体" w:cs="Arial"/>
          <w:b w:val="0"/>
          <w:bCs/>
          <w:color w:val="auto"/>
          <w:sz w:val="24"/>
          <w:szCs w:val="21"/>
        </w:rPr>
        <w:t>形式提交履约担保，担保金额5000元（大写：伍仟元整）。</w:t>
      </w:r>
    </w:p>
    <w:p w14:paraId="605C4059">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2. 乙方应在签订本协议前，将履约担保转至甲方指定账户（账户名：</w:t>
      </w:r>
      <w:r>
        <w:rPr>
          <w:rFonts w:hint="default" w:ascii="宋体" w:hAnsi="宋体" w:eastAsia="宋体" w:cs="Arial"/>
          <w:b w:val="0"/>
          <w:bCs/>
          <w:color w:val="auto"/>
          <w:sz w:val="24"/>
          <w:szCs w:val="21"/>
          <w:u w:val="single"/>
        </w:rPr>
        <w:t xml:space="preserve">           </w:t>
      </w:r>
      <w:r>
        <w:rPr>
          <w:rFonts w:hint="default" w:ascii="宋体" w:hAnsi="宋体" w:eastAsia="宋体" w:cs="Arial"/>
          <w:b w:val="0"/>
          <w:bCs/>
          <w:color w:val="auto"/>
          <w:sz w:val="24"/>
          <w:szCs w:val="21"/>
        </w:rPr>
        <w:t>，开户行：</w:t>
      </w:r>
      <w:r>
        <w:rPr>
          <w:rFonts w:hint="default" w:ascii="宋体" w:hAnsi="宋体" w:eastAsia="宋体" w:cs="Arial"/>
          <w:b w:val="0"/>
          <w:bCs/>
          <w:color w:val="auto"/>
          <w:sz w:val="24"/>
          <w:szCs w:val="21"/>
          <w:u w:val="single"/>
        </w:rPr>
        <w:t xml:space="preserve">          </w:t>
      </w:r>
      <w:r>
        <w:rPr>
          <w:rFonts w:hint="default" w:ascii="宋体" w:hAnsi="宋体" w:eastAsia="宋体" w:cs="Arial"/>
          <w:b w:val="0"/>
          <w:bCs/>
          <w:color w:val="auto"/>
          <w:sz w:val="24"/>
          <w:szCs w:val="21"/>
        </w:rPr>
        <w:t>，银行账号：</w:t>
      </w:r>
      <w:r>
        <w:rPr>
          <w:rFonts w:hint="default" w:ascii="宋体" w:hAnsi="宋体" w:eastAsia="宋体" w:cs="Arial"/>
          <w:b w:val="0"/>
          <w:bCs/>
          <w:color w:val="auto"/>
          <w:sz w:val="24"/>
          <w:szCs w:val="21"/>
          <w:u w:val="single"/>
        </w:rPr>
        <w:t xml:space="preserve">          </w:t>
      </w:r>
      <w:r>
        <w:rPr>
          <w:rFonts w:hint="default" w:ascii="宋体" w:hAnsi="宋体" w:eastAsia="宋体" w:cs="Arial"/>
          <w:b w:val="0"/>
          <w:bCs/>
          <w:color w:val="auto"/>
          <w:sz w:val="24"/>
          <w:szCs w:val="21"/>
        </w:rPr>
        <w:t>）。</w:t>
      </w:r>
    </w:p>
    <w:p w14:paraId="57AA9419">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3. 协议期限届满且双方无任何履约争议、未发生违约行为的，甲方在15个工作日内一次性退还履约担保；若乙方存在违约，甲方可从履约担保中扣除相应违约金、赔偿金，剩余部分退还，不足部分有权追偿。</w:t>
      </w:r>
    </w:p>
    <w:p w14:paraId="0B907F17">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eastAsia" w:ascii="宋体" w:hAnsi="宋体" w:cs="Arial"/>
          <w:b w:val="0"/>
          <w:bCs/>
          <w:color w:val="auto"/>
          <w:sz w:val="24"/>
          <w:szCs w:val="21"/>
          <w:lang w:val="en-US" w:eastAsia="zh-CN"/>
        </w:rPr>
      </w:pPr>
      <w:r>
        <w:rPr>
          <w:rFonts w:hint="eastAsia" w:ascii="宋体" w:hAnsi="宋体" w:cs="Arial"/>
          <w:b w:val="0"/>
          <w:bCs/>
          <w:color w:val="auto"/>
          <w:sz w:val="24"/>
          <w:szCs w:val="21"/>
          <w:lang w:val="en-US" w:eastAsia="zh-CN"/>
        </w:rPr>
        <w:t>4. 验收标准</w:t>
      </w:r>
    </w:p>
    <w:p w14:paraId="65EA8DC9">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cs="Arial"/>
          <w:b w:val="0"/>
          <w:bCs/>
          <w:color w:val="auto"/>
          <w:sz w:val="24"/>
          <w:szCs w:val="21"/>
          <w:lang w:val="en-US" w:eastAsia="zh-CN"/>
        </w:rPr>
      </w:pPr>
      <w:r>
        <w:rPr>
          <w:rFonts w:hint="eastAsia" w:ascii="宋体" w:hAnsi="宋体" w:cs="Arial"/>
          <w:b w:val="0"/>
          <w:bCs/>
          <w:color w:val="auto"/>
          <w:sz w:val="24"/>
          <w:szCs w:val="21"/>
          <w:lang w:val="en-US" w:eastAsia="zh-CN"/>
        </w:rPr>
        <w:t>（1）</w:t>
      </w:r>
      <w:r>
        <w:rPr>
          <w:rFonts w:hint="default" w:ascii="宋体" w:hAnsi="宋体" w:cs="Arial"/>
          <w:b w:val="0"/>
          <w:bCs/>
          <w:color w:val="auto"/>
          <w:sz w:val="24"/>
          <w:szCs w:val="21"/>
          <w:lang w:val="en-US" w:eastAsia="zh-CN"/>
        </w:rPr>
        <w:t>故障维修验收：故障彻底排除，设备恢复正常使用，运行参数达标，无次生故障及安全隐患，甲方确认无误即为该工单项下任务验收合格。</w:t>
      </w:r>
    </w:p>
    <w:p w14:paraId="63A30C6A">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cs="Arial"/>
          <w:b w:val="0"/>
          <w:bCs/>
          <w:color w:val="auto"/>
          <w:sz w:val="24"/>
          <w:szCs w:val="21"/>
          <w:lang w:val="en-US" w:eastAsia="zh-CN"/>
        </w:rPr>
      </w:pPr>
      <w:r>
        <w:rPr>
          <w:rFonts w:hint="eastAsia" w:ascii="宋体" w:hAnsi="宋体" w:cs="Arial"/>
          <w:b w:val="0"/>
          <w:bCs/>
          <w:color w:val="auto"/>
          <w:sz w:val="24"/>
          <w:szCs w:val="21"/>
          <w:lang w:val="en-US" w:eastAsia="zh-CN"/>
        </w:rPr>
        <w:t>（2）</w:t>
      </w:r>
      <w:r>
        <w:rPr>
          <w:rFonts w:hint="default" w:ascii="宋体" w:hAnsi="宋体" w:cs="Arial"/>
          <w:b w:val="0"/>
          <w:bCs/>
          <w:color w:val="auto"/>
          <w:sz w:val="24"/>
          <w:szCs w:val="21"/>
          <w:lang w:val="en-US" w:eastAsia="zh-CN"/>
        </w:rPr>
        <w:t xml:space="preserve"> 零星工程维修验收：维修部位平整牢固、功能恢复正常、场地整洁，无破损、无渗漏、无安全隐患，符合充电站运营使用标准，甲方验收签字确认即为该工单任务合格。</w:t>
      </w:r>
    </w:p>
    <w:p w14:paraId="1D9E663E">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cs="Arial"/>
          <w:b w:val="0"/>
          <w:bCs/>
          <w:color w:val="auto"/>
          <w:sz w:val="24"/>
          <w:szCs w:val="21"/>
          <w:lang w:val="en-US" w:eastAsia="zh-CN"/>
        </w:rPr>
      </w:pPr>
      <w:r>
        <w:rPr>
          <w:rFonts w:hint="eastAsia" w:ascii="宋体" w:hAnsi="宋体" w:cs="Arial"/>
          <w:b w:val="0"/>
          <w:bCs/>
          <w:color w:val="auto"/>
          <w:sz w:val="24"/>
          <w:szCs w:val="21"/>
          <w:lang w:val="en-US" w:eastAsia="zh-CN"/>
        </w:rPr>
        <w:t>（3）</w:t>
      </w:r>
      <w:r>
        <w:rPr>
          <w:rFonts w:hint="default" w:ascii="宋体" w:hAnsi="宋体" w:cs="Arial"/>
          <w:b w:val="0"/>
          <w:bCs/>
          <w:color w:val="auto"/>
          <w:sz w:val="24"/>
          <w:szCs w:val="21"/>
          <w:lang w:val="en-US" w:eastAsia="zh-CN"/>
        </w:rPr>
        <w:t xml:space="preserve"> 甲方收到乙方单项工单验收申请后 5 个工作日内完成验收，逾期未提出书面异议的，视为该工单任务验收合格。</w:t>
      </w:r>
    </w:p>
    <w:p w14:paraId="6139D6AA">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cs="Arial"/>
          <w:b w:val="0"/>
          <w:bCs/>
          <w:color w:val="auto"/>
          <w:sz w:val="24"/>
          <w:szCs w:val="21"/>
          <w:lang w:val="en-US" w:eastAsia="zh-CN"/>
        </w:rPr>
      </w:pPr>
      <w:r>
        <w:rPr>
          <w:rFonts w:hint="eastAsia" w:ascii="宋体" w:hAnsi="宋体" w:cs="Arial"/>
          <w:b w:val="0"/>
          <w:bCs/>
          <w:color w:val="auto"/>
          <w:sz w:val="24"/>
          <w:szCs w:val="21"/>
          <w:lang w:val="en-US" w:eastAsia="zh-CN"/>
        </w:rPr>
        <w:t>（4）</w:t>
      </w:r>
      <w:r>
        <w:rPr>
          <w:rFonts w:hint="default" w:ascii="宋体" w:hAnsi="宋体" w:cs="Arial"/>
          <w:b w:val="0"/>
          <w:bCs/>
          <w:color w:val="auto"/>
          <w:sz w:val="24"/>
          <w:szCs w:val="21"/>
          <w:lang w:val="en-US" w:eastAsia="zh-CN"/>
        </w:rPr>
        <w:t>甲方未参与现场验收但实际投入使用的，不免除乙方的质量保修责任。甲方对质量有异议的，有权要求乙方开挖核查。核查合格，开挖及复原费用由甲方承担；核查不合格，乙方须对该工单项目返工维修至本协议约定质量标准，全部费用由乙方承担。</w:t>
      </w:r>
    </w:p>
    <w:p w14:paraId="1F6D1A1C">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2" w:firstLineChars="200"/>
        <w:textAlignment w:val="auto"/>
        <w:rPr>
          <w:rFonts w:hint="default" w:ascii="宋体" w:hAnsi="宋体" w:eastAsia="宋体" w:cs="Arial"/>
          <w:b/>
          <w:bCs w:val="0"/>
          <w:color w:val="auto"/>
          <w:sz w:val="24"/>
          <w:szCs w:val="21"/>
        </w:rPr>
      </w:pPr>
      <w:r>
        <w:rPr>
          <w:rFonts w:hint="eastAsia" w:ascii="宋体" w:hAnsi="宋体" w:cs="Arial"/>
          <w:b/>
          <w:bCs w:val="0"/>
          <w:color w:val="auto"/>
          <w:sz w:val="24"/>
          <w:szCs w:val="21"/>
          <w:lang w:val="en-US" w:eastAsia="zh-CN"/>
        </w:rPr>
        <w:t>五</w:t>
      </w:r>
      <w:r>
        <w:rPr>
          <w:rFonts w:hint="default" w:ascii="宋体" w:hAnsi="宋体" w:eastAsia="宋体" w:cs="Arial"/>
          <w:b/>
          <w:bCs w:val="0"/>
          <w:color w:val="auto"/>
          <w:sz w:val="24"/>
          <w:szCs w:val="21"/>
        </w:rPr>
        <w:t>、双方权利与义务</w:t>
      </w:r>
    </w:p>
    <w:p w14:paraId="789208D1">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（一）甲方权利义务</w:t>
      </w:r>
    </w:p>
    <w:p w14:paraId="4DF38E4B">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1.</w:t>
      </w:r>
      <w:r>
        <w:rPr>
          <w:rFonts w:hint="eastAsia" w:ascii="宋体" w:hAnsi="宋体" w:cs="Arial"/>
          <w:b w:val="0"/>
          <w:bCs/>
          <w:color w:val="auto"/>
          <w:sz w:val="24"/>
          <w:szCs w:val="21"/>
          <w:lang w:val="en-US" w:eastAsia="zh-CN"/>
        </w:rPr>
        <w:t xml:space="preserve"> </w:t>
      </w:r>
      <w:r>
        <w:rPr>
          <w:rFonts w:hint="default" w:ascii="宋体" w:hAnsi="宋体" w:eastAsia="宋体" w:cs="Arial"/>
          <w:b w:val="0"/>
          <w:bCs/>
          <w:color w:val="auto"/>
          <w:sz w:val="24"/>
          <w:szCs w:val="21"/>
        </w:rPr>
        <w:t>有权对乙方服务质量、履约情况、配件质量进行监督检查，要求乙方限期整改不合格项。</w:t>
      </w:r>
    </w:p>
    <w:p w14:paraId="29A254A2">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2. </w:t>
      </w:r>
      <w:r>
        <w:rPr>
          <w:rFonts w:hint="default" w:ascii="宋体" w:hAnsi="宋体" w:eastAsia="宋体" w:cs="Arial"/>
          <w:b w:val="0"/>
          <w:bCs/>
          <w:color w:val="auto"/>
          <w:sz w:val="24"/>
          <w:szCs w:val="21"/>
        </w:rPr>
        <w:t>按本协议约定及甲方内部流程支付结算款，不得无故拖延。</w:t>
      </w:r>
    </w:p>
    <w:p w14:paraId="67173F03">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3. </w:t>
      </w:r>
      <w:r>
        <w:rPr>
          <w:rFonts w:hint="default" w:ascii="宋体" w:hAnsi="宋体" w:eastAsia="宋体" w:cs="Arial"/>
          <w:b w:val="0"/>
          <w:bCs/>
          <w:color w:val="auto"/>
          <w:sz w:val="24"/>
          <w:szCs w:val="21"/>
        </w:rPr>
        <w:t>向乙方提供各场站维修必要信息，协调场站现场作业条件，明确维修具体需求。</w:t>
      </w:r>
    </w:p>
    <w:p w14:paraId="05126180">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4. </w:t>
      </w:r>
      <w:r>
        <w:rPr>
          <w:rFonts w:hint="default" w:ascii="宋体" w:hAnsi="宋体" w:eastAsia="宋体" w:cs="Arial"/>
          <w:b w:val="0"/>
          <w:bCs/>
          <w:color w:val="auto"/>
          <w:sz w:val="24"/>
          <w:szCs w:val="21"/>
        </w:rPr>
        <w:t>建立供应商评价机制，对乙方履约情况进行评价，评价结果作为续库、清退依据。</w:t>
      </w:r>
    </w:p>
    <w:p w14:paraId="17447BFF">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（二）乙方权利义务</w:t>
      </w:r>
    </w:p>
    <w:p w14:paraId="6108AEC4">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1. </w:t>
      </w:r>
      <w:r>
        <w:rPr>
          <w:rFonts w:hint="default" w:ascii="宋体" w:hAnsi="宋体" w:eastAsia="宋体" w:cs="Arial"/>
          <w:b w:val="0"/>
          <w:bCs/>
          <w:color w:val="auto"/>
          <w:sz w:val="24"/>
          <w:szCs w:val="21"/>
        </w:rPr>
        <w:t>有权按本协议约定承接甲方充电桩维修服务业务。</w:t>
      </w:r>
    </w:p>
    <w:p w14:paraId="67E21F4B">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2. </w:t>
      </w:r>
      <w:r>
        <w:rPr>
          <w:rFonts w:hint="default" w:ascii="宋体" w:hAnsi="宋体" w:eastAsia="宋体" w:cs="Arial"/>
          <w:b w:val="0"/>
          <w:bCs/>
          <w:color w:val="auto"/>
          <w:sz w:val="24"/>
          <w:szCs w:val="21"/>
        </w:rPr>
        <w:t>保证维修人员具备相应资质，维修配件为全新合格产品，符合国家现行规范、行业标准及本项目技术要求，并提供合格证明文件。</w:t>
      </w:r>
    </w:p>
    <w:p w14:paraId="2C113337">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3. </w:t>
      </w:r>
      <w:r>
        <w:rPr>
          <w:rFonts w:hint="default" w:ascii="宋体" w:hAnsi="宋体" w:eastAsia="宋体" w:cs="Arial"/>
          <w:b w:val="0"/>
          <w:bCs/>
          <w:color w:val="auto"/>
          <w:sz w:val="24"/>
          <w:szCs w:val="21"/>
        </w:rPr>
        <w:t>按甲方需求按时完成维修、调试，确保场站正常使用；施工过程中遵守场站安全管理规定，承担施工安全责任。</w:t>
      </w:r>
    </w:p>
    <w:p w14:paraId="4FA48955">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4. </w:t>
      </w:r>
      <w:r>
        <w:rPr>
          <w:rFonts w:hint="default" w:ascii="宋体" w:hAnsi="宋体" w:eastAsia="宋体" w:cs="Arial"/>
          <w:b w:val="0"/>
          <w:bCs/>
          <w:color w:val="auto"/>
          <w:sz w:val="24"/>
          <w:szCs w:val="21"/>
        </w:rPr>
        <w:t>提供符合要求的质保服务。质保期内出现非甲方人为损坏的质量问题，乙方应</w:t>
      </w:r>
      <w:r>
        <w:rPr>
          <w:rFonts w:hint="eastAsia" w:ascii="宋体" w:hAnsi="宋体" w:cs="Arial"/>
          <w:b w:val="0"/>
          <w:bCs/>
          <w:color w:val="auto"/>
          <w:sz w:val="24"/>
          <w:szCs w:val="21"/>
          <w:lang w:val="en-US" w:eastAsia="zh-CN"/>
        </w:rPr>
        <w:t>按时效要求</w:t>
      </w:r>
      <w:r>
        <w:rPr>
          <w:rFonts w:hint="default" w:ascii="宋体" w:hAnsi="宋体" w:eastAsia="宋体" w:cs="Arial"/>
          <w:b w:val="0"/>
          <w:bCs/>
          <w:color w:val="auto"/>
          <w:sz w:val="24"/>
          <w:szCs w:val="21"/>
        </w:rPr>
        <w:t>到场处理，免费维修或更换；无法维修或更换的，退还对应货款。逾期未处理的，甲方有权委托第三方处理，费用由乙方承担。</w:t>
      </w:r>
    </w:p>
    <w:p w14:paraId="5A32455C">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5. </w:t>
      </w:r>
      <w:r>
        <w:rPr>
          <w:rFonts w:hint="default" w:ascii="宋体" w:hAnsi="宋体" w:eastAsia="宋体" w:cs="Arial"/>
          <w:b w:val="0"/>
          <w:bCs/>
          <w:color w:val="auto"/>
          <w:sz w:val="24"/>
          <w:szCs w:val="21"/>
        </w:rPr>
        <w:t>建立完善售后服务体系，质保期后提供有偿维护服务，收费标准不高于市场公允价。</w:t>
      </w:r>
    </w:p>
    <w:p w14:paraId="752BCB26">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6. </w:t>
      </w:r>
      <w:r>
        <w:rPr>
          <w:rFonts w:hint="default" w:ascii="宋体" w:hAnsi="宋体" w:eastAsia="宋体" w:cs="Arial"/>
          <w:b w:val="0"/>
          <w:bCs/>
          <w:color w:val="auto"/>
          <w:sz w:val="24"/>
          <w:szCs w:val="21"/>
        </w:rPr>
        <w:t>不得擅自更换配件品牌、型号、规格，不得偷工减料、以次充好，否则甲方有权拒收、拒付结算款，并追究违约责任。</w:t>
      </w:r>
    </w:p>
    <w:p w14:paraId="227CAFAB">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7. </w:t>
      </w:r>
      <w:r>
        <w:rPr>
          <w:rFonts w:hint="default" w:ascii="宋体" w:hAnsi="宋体" w:eastAsia="宋体" w:cs="Arial"/>
          <w:b w:val="0"/>
          <w:bCs/>
          <w:color w:val="auto"/>
          <w:sz w:val="24"/>
          <w:szCs w:val="21"/>
        </w:rPr>
        <w:t>配合甲方供应商库管理工作，按要求提交履约资料、维修台账、服务报告、故障分析报告、维修日志等，接受评价考核。</w:t>
      </w:r>
    </w:p>
    <w:p w14:paraId="3D6DE50B">
      <w:pPr>
        <w:keepNext w:val="0"/>
        <w:keepLines w:val="0"/>
        <w:pageBreakBefore w:val="0"/>
        <w:widowControl w:val="0"/>
        <w:numPr>
          <w:ilvl w:val="0"/>
          <w:numId w:val="2"/>
        </w:numPr>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不得提供虚假资质、业绩等资料。</w:t>
      </w:r>
    </w:p>
    <w:p w14:paraId="1E03FBC2">
      <w:pPr>
        <w:keepNext w:val="0"/>
        <w:keepLines w:val="0"/>
        <w:pageBreakBefore w:val="0"/>
        <w:widowControl w:val="0"/>
        <w:numPr>
          <w:ilvl w:val="0"/>
          <w:numId w:val="2"/>
        </w:numPr>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乙方所有服务作业必须严格遵守国家《电动汽车充电基础设施建设与运营规范》《电气装置安装工程施工及验收规范》《建筑工程施工质量验收统一标准》等相关行业标准、安全规范及甲方站点运营管理制度，确保作业合规、质量达标、安全可控。</w:t>
      </w:r>
    </w:p>
    <w:p w14:paraId="67023AB1">
      <w:pPr>
        <w:keepNext w:val="0"/>
        <w:keepLines w:val="0"/>
        <w:pageBreakBefore w:val="0"/>
        <w:widowControl w:val="0"/>
        <w:numPr>
          <w:ilvl w:val="0"/>
          <w:numId w:val="2"/>
        </w:numPr>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乙方作业人员必须具备相应作业资质，持证上岗，严格遵守用电安全、施工安全操作规程，作业前做好安全防护、现场警示，杜绝违规操作、违章施工，杜绝安全事故发生。</w:t>
      </w:r>
    </w:p>
    <w:p w14:paraId="744D0DCC">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2" w:firstLineChars="200"/>
        <w:textAlignment w:val="auto"/>
        <w:rPr>
          <w:rFonts w:hint="default" w:ascii="宋体" w:hAnsi="宋体" w:eastAsia="宋体" w:cs="Arial"/>
          <w:b/>
          <w:bCs w:val="0"/>
          <w:color w:val="auto"/>
          <w:sz w:val="24"/>
          <w:szCs w:val="21"/>
        </w:rPr>
      </w:pPr>
      <w:r>
        <w:rPr>
          <w:rFonts w:hint="eastAsia" w:ascii="宋体" w:hAnsi="宋体" w:cs="Arial"/>
          <w:b/>
          <w:bCs w:val="0"/>
          <w:color w:val="auto"/>
          <w:sz w:val="24"/>
          <w:szCs w:val="21"/>
          <w:lang w:val="en-US" w:eastAsia="zh-CN"/>
        </w:rPr>
        <w:t>六</w:t>
      </w:r>
      <w:r>
        <w:rPr>
          <w:rFonts w:hint="default" w:ascii="宋体" w:hAnsi="宋体" w:eastAsia="宋体" w:cs="Arial"/>
          <w:b/>
          <w:bCs w:val="0"/>
          <w:color w:val="auto"/>
          <w:sz w:val="24"/>
          <w:szCs w:val="21"/>
        </w:rPr>
        <w:t>、订单管理</w:t>
      </w:r>
    </w:p>
    <w:p w14:paraId="0A727FD0">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1.</w:t>
      </w:r>
      <w:r>
        <w:rPr>
          <w:rFonts w:hint="eastAsia" w:ascii="宋体" w:hAnsi="宋体" w:cs="Arial"/>
          <w:b w:val="0"/>
          <w:bCs/>
          <w:color w:val="auto"/>
          <w:sz w:val="24"/>
          <w:szCs w:val="21"/>
          <w:lang w:val="en-US" w:eastAsia="zh-CN"/>
        </w:rPr>
        <w:t xml:space="preserve"> </w:t>
      </w:r>
      <w:r>
        <w:rPr>
          <w:rFonts w:hint="default" w:ascii="宋体" w:hAnsi="宋体" w:eastAsia="宋体" w:cs="Arial"/>
          <w:b w:val="0"/>
          <w:bCs/>
          <w:color w:val="auto"/>
          <w:sz w:val="24"/>
          <w:szCs w:val="21"/>
        </w:rPr>
        <w:t>在协议期限内，按照项目先后时间次序，有项目A、项目B、项目C……项目A由甲方从所有入围单位中随机抽取1家；项目B从所有入围单位前一次未被抽中的单位中抽取；项目C从所有入围单位前两次均未被抽中的单位中继续抽取；以此类推。所有入围单位抽完后重新开始新一轮抽签，抽签规则不变。抽中的项目，如因特殊原因取消不实施，甲方不给予调整替换项目。</w:t>
      </w:r>
    </w:p>
    <w:p w14:paraId="54E2A5DA">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2. </w:t>
      </w:r>
      <w:r>
        <w:rPr>
          <w:rFonts w:hint="default" w:ascii="宋体" w:hAnsi="宋体" w:eastAsia="宋体" w:cs="Arial"/>
          <w:b w:val="0"/>
          <w:bCs/>
          <w:color w:val="auto"/>
          <w:sz w:val="24"/>
          <w:szCs w:val="21"/>
        </w:rPr>
        <w:t>每季度完成后，甲方服务需求部门将对服务质量进行评价、打分、评级，最差者可能被停抽。</w:t>
      </w:r>
    </w:p>
    <w:p w14:paraId="4641D7C2">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3. </w:t>
      </w:r>
      <w:r>
        <w:rPr>
          <w:rFonts w:hint="default" w:ascii="宋体" w:hAnsi="宋体" w:eastAsia="宋体" w:cs="Arial"/>
          <w:b w:val="0"/>
          <w:bCs/>
          <w:color w:val="auto"/>
          <w:sz w:val="24"/>
          <w:szCs w:val="21"/>
        </w:rPr>
        <w:t>特殊项目或甲方认为必要的项目，在项目实施前由甲方召集各入库单位再次进行报价，根据报价结果选择实施单位。若库内单位不能满足需要或需求部门有指定单位的，则由甲方或需求部门直接指定。</w:t>
      </w:r>
    </w:p>
    <w:p w14:paraId="1E952B34">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4. </w:t>
      </w:r>
      <w:r>
        <w:rPr>
          <w:rFonts w:hint="default" w:ascii="宋体" w:hAnsi="宋体" w:eastAsia="宋体" w:cs="Arial"/>
          <w:b w:val="0"/>
          <w:bCs/>
          <w:color w:val="auto"/>
          <w:sz w:val="24"/>
          <w:szCs w:val="21"/>
        </w:rPr>
        <w:t>被抽到的入库单位不按入库协议价格签订合同的，取消被抽资格；对严重干扰工作的，清除入库。</w:t>
      </w:r>
    </w:p>
    <w:p w14:paraId="46173DD9">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5. </w:t>
      </w:r>
      <w:r>
        <w:rPr>
          <w:rFonts w:hint="default" w:ascii="宋体" w:hAnsi="宋体" w:eastAsia="宋体" w:cs="Arial"/>
          <w:b w:val="0"/>
          <w:bCs/>
          <w:color w:val="auto"/>
          <w:sz w:val="24"/>
          <w:szCs w:val="21"/>
        </w:rPr>
        <w:t>甲方通过书面订单（含电子订单）向乙方下达任务，订单应明确维修内容、地点、工期、质量要求等。乙方应按要求响应并履约。</w:t>
      </w:r>
    </w:p>
    <w:p w14:paraId="6769CAB1">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2" w:firstLineChars="200"/>
        <w:textAlignment w:val="auto"/>
        <w:rPr>
          <w:rFonts w:hint="default" w:ascii="宋体" w:hAnsi="宋体" w:eastAsia="宋体" w:cs="Arial"/>
          <w:b/>
          <w:bCs w:val="0"/>
          <w:color w:val="auto"/>
          <w:sz w:val="24"/>
          <w:szCs w:val="21"/>
        </w:rPr>
      </w:pPr>
      <w:r>
        <w:rPr>
          <w:rFonts w:hint="eastAsia" w:ascii="宋体" w:hAnsi="宋体" w:cs="Arial"/>
          <w:b/>
          <w:bCs w:val="0"/>
          <w:color w:val="auto"/>
          <w:sz w:val="24"/>
          <w:szCs w:val="21"/>
          <w:lang w:val="en-US" w:eastAsia="zh-CN"/>
        </w:rPr>
        <w:t>七</w:t>
      </w:r>
      <w:r>
        <w:rPr>
          <w:rFonts w:hint="default" w:ascii="宋体" w:hAnsi="宋体" w:eastAsia="宋体" w:cs="Arial"/>
          <w:b/>
          <w:bCs w:val="0"/>
          <w:color w:val="auto"/>
          <w:sz w:val="24"/>
          <w:szCs w:val="21"/>
        </w:rPr>
        <w:t>、供应商</w:t>
      </w:r>
      <w:r>
        <w:rPr>
          <w:rFonts w:hint="eastAsia" w:ascii="宋体" w:hAnsi="宋体" w:cs="Arial"/>
          <w:b/>
          <w:bCs w:val="0"/>
          <w:color w:val="auto"/>
          <w:sz w:val="24"/>
          <w:szCs w:val="21"/>
          <w:lang w:val="en-US" w:eastAsia="zh-CN"/>
        </w:rPr>
        <w:t>考核、</w:t>
      </w:r>
      <w:r>
        <w:rPr>
          <w:rFonts w:hint="default" w:ascii="宋体" w:hAnsi="宋体" w:eastAsia="宋体" w:cs="Arial"/>
          <w:b/>
          <w:bCs w:val="0"/>
          <w:color w:val="auto"/>
          <w:sz w:val="24"/>
          <w:szCs w:val="21"/>
        </w:rPr>
        <w:t>清退与补充</w:t>
      </w:r>
    </w:p>
    <w:p w14:paraId="4CD57A44">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cs="Arial"/>
          <w:b w:val="0"/>
          <w:bCs/>
          <w:color w:val="auto"/>
          <w:sz w:val="24"/>
          <w:szCs w:val="21"/>
          <w:lang w:val="en-US" w:eastAsia="zh-CN"/>
        </w:rPr>
      </w:pPr>
      <w:r>
        <w:rPr>
          <w:rFonts w:hint="eastAsia" w:ascii="宋体" w:hAnsi="宋体" w:cs="Arial"/>
          <w:b w:val="0"/>
          <w:bCs/>
          <w:color w:val="auto"/>
          <w:sz w:val="24"/>
          <w:szCs w:val="21"/>
          <w:lang w:val="en-US" w:eastAsia="zh-CN"/>
        </w:rPr>
        <w:t>（一）考核、清退机制</w:t>
      </w:r>
    </w:p>
    <w:p w14:paraId="75BE4697">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1. </w:t>
      </w:r>
      <w:r>
        <w:rPr>
          <w:rFonts w:hint="default" w:ascii="宋体" w:hAnsi="宋体" w:eastAsia="宋体" w:cs="Arial"/>
          <w:b w:val="0"/>
          <w:bCs/>
          <w:color w:val="auto"/>
          <w:sz w:val="24"/>
          <w:szCs w:val="21"/>
        </w:rPr>
        <w:t>甲方对入库单位采用季度项目考核和年度综合考核。季度考核主要考核具体项目的服务质量、服务效率、服务程序（服务纪律）等内容。其中项目服务质量满分50分、服务效率满分30分、服务程序（服务纪律）满分20分，三项合计满分100分，采用扣分法计分。</w:t>
      </w:r>
    </w:p>
    <w:p w14:paraId="5432CA60">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2. </w:t>
      </w:r>
      <w:r>
        <w:rPr>
          <w:rFonts w:hint="default" w:ascii="宋体" w:hAnsi="宋体" w:eastAsia="宋体" w:cs="Arial"/>
          <w:b w:val="0"/>
          <w:bCs/>
          <w:color w:val="auto"/>
          <w:sz w:val="24"/>
          <w:szCs w:val="21"/>
        </w:rPr>
        <w:t>一年内有两个季度考核不合格的，视为年度考核不合格。年度综合考核不合格的，取消下一年度任务分配资格。</w:t>
      </w:r>
    </w:p>
    <w:p w14:paraId="3CDA6FA2">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3. </w:t>
      </w:r>
      <w:r>
        <w:rPr>
          <w:rFonts w:hint="default" w:ascii="宋体" w:hAnsi="宋体" w:eastAsia="宋体" w:cs="Arial"/>
          <w:b w:val="0"/>
          <w:bCs/>
          <w:color w:val="auto"/>
          <w:sz w:val="24"/>
          <w:szCs w:val="21"/>
        </w:rPr>
        <w:t>入库单位在年度内承接的项目中出现服务质量、效率等方面重大缺陷，给甲方造成经济损失的，经项目评审小组确认，报公司主要领导批准后，清除出库，按协议约定赔偿损失；两年内不得参与甲方充电桩维修服务供应商选聘；触犯法律的，追究相应法律责任。</w:t>
      </w:r>
    </w:p>
    <w:p w14:paraId="2E0B383C">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4. </w:t>
      </w:r>
      <w:r>
        <w:rPr>
          <w:rFonts w:hint="default" w:ascii="宋体" w:hAnsi="宋体" w:eastAsia="宋体" w:cs="Arial"/>
          <w:b w:val="0"/>
          <w:bCs/>
          <w:color w:val="auto"/>
          <w:sz w:val="24"/>
          <w:szCs w:val="21"/>
        </w:rPr>
        <w:t>采取一票否决制。凡发生以下情况之一的，一律取消服务资格：</w:t>
      </w:r>
    </w:p>
    <w:p w14:paraId="23C3F3FE">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eastAsia="zh-CN"/>
        </w:rPr>
        <w:t>（</w:t>
      </w:r>
      <w:r>
        <w:rPr>
          <w:rFonts w:hint="eastAsia" w:ascii="宋体" w:hAnsi="宋体" w:cs="Arial"/>
          <w:b w:val="0"/>
          <w:bCs/>
          <w:color w:val="auto"/>
          <w:sz w:val="24"/>
          <w:szCs w:val="21"/>
          <w:lang w:val="en-US" w:eastAsia="zh-CN"/>
        </w:rPr>
        <w:t>1</w:t>
      </w:r>
      <w:r>
        <w:rPr>
          <w:rFonts w:hint="eastAsia" w:ascii="宋体" w:hAnsi="宋体" w:cs="Arial"/>
          <w:b w:val="0"/>
          <w:bCs/>
          <w:color w:val="auto"/>
          <w:sz w:val="24"/>
          <w:szCs w:val="21"/>
          <w:lang w:eastAsia="zh-CN"/>
        </w:rPr>
        <w:t>）</w:t>
      </w:r>
      <w:r>
        <w:rPr>
          <w:rFonts w:hint="default" w:ascii="宋体" w:hAnsi="宋体" w:eastAsia="宋体" w:cs="Arial"/>
          <w:b w:val="0"/>
          <w:bCs/>
          <w:color w:val="auto"/>
          <w:sz w:val="24"/>
          <w:szCs w:val="21"/>
        </w:rPr>
        <w:t>年度内有一个以上（含一个）低于60分的；</w:t>
      </w:r>
    </w:p>
    <w:p w14:paraId="2FD549C8">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eastAsia="zh-CN"/>
        </w:rPr>
        <w:t>（</w:t>
      </w:r>
      <w:r>
        <w:rPr>
          <w:rFonts w:hint="eastAsia" w:ascii="宋体" w:hAnsi="宋体" w:cs="Arial"/>
          <w:b w:val="0"/>
          <w:bCs/>
          <w:color w:val="auto"/>
          <w:sz w:val="24"/>
          <w:szCs w:val="21"/>
          <w:lang w:val="en-US" w:eastAsia="zh-CN"/>
        </w:rPr>
        <w:t>2</w:t>
      </w:r>
      <w:r>
        <w:rPr>
          <w:rFonts w:hint="eastAsia" w:ascii="宋体" w:hAnsi="宋体" w:cs="Arial"/>
          <w:b w:val="0"/>
          <w:bCs/>
          <w:color w:val="auto"/>
          <w:sz w:val="24"/>
          <w:szCs w:val="21"/>
          <w:lang w:eastAsia="zh-CN"/>
        </w:rPr>
        <w:t>）</w:t>
      </w:r>
      <w:r>
        <w:rPr>
          <w:rFonts w:hint="default" w:ascii="宋体" w:hAnsi="宋体" w:eastAsia="宋体" w:cs="Arial"/>
          <w:b w:val="0"/>
          <w:bCs/>
          <w:color w:val="auto"/>
          <w:sz w:val="24"/>
          <w:szCs w:val="21"/>
        </w:rPr>
        <w:t>发生重大质量、安全问题的，或充电桩维修服务供应商不具备相应资质等引起相关不良后果的；</w:t>
      </w:r>
    </w:p>
    <w:p w14:paraId="2EA3E0C0">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eastAsia="zh-CN"/>
        </w:rPr>
        <w:t>（</w:t>
      </w:r>
      <w:r>
        <w:rPr>
          <w:rFonts w:hint="eastAsia" w:ascii="宋体" w:hAnsi="宋体" w:cs="Arial"/>
          <w:b w:val="0"/>
          <w:bCs/>
          <w:color w:val="auto"/>
          <w:sz w:val="24"/>
          <w:szCs w:val="21"/>
          <w:lang w:val="en-US" w:eastAsia="zh-CN"/>
        </w:rPr>
        <w:t>3</w:t>
      </w:r>
      <w:r>
        <w:rPr>
          <w:rFonts w:hint="eastAsia" w:ascii="宋体" w:hAnsi="宋体" w:cs="Arial"/>
          <w:b w:val="0"/>
          <w:bCs/>
          <w:color w:val="auto"/>
          <w:sz w:val="24"/>
          <w:szCs w:val="21"/>
          <w:lang w:eastAsia="zh-CN"/>
        </w:rPr>
        <w:t>）</w:t>
      </w:r>
      <w:r>
        <w:rPr>
          <w:rFonts w:hint="default" w:ascii="宋体" w:hAnsi="宋体" w:eastAsia="宋体" w:cs="Arial"/>
          <w:b w:val="0"/>
          <w:bCs/>
          <w:color w:val="auto"/>
          <w:sz w:val="24"/>
          <w:szCs w:val="21"/>
        </w:rPr>
        <w:t>未按要求移交业务成果文件的。</w:t>
      </w:r>
    </w:p>
    <w:p w14:paraId="47AEAABF">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 xml:space="preserve">5. </w:t>
      </w:r>
      <w:r>
        <w:rPr>
          <w:rFonts w:hint="default" w:ascii="宋体" w:hAnsi="宋体" w:eastAsia="宋体" w:cs="Arial"/>
          <w:b w:val="0"/>
          <w:bCs/>
          <w:color w:val="auto"/>
          <w:sz w:val="24"/>
          <w:szCs w:val="21"/>
        </w:rPr>
        <w:t>入库及合同履约期间，入库单位因违法违纪、重大责任事故，或被相关行业管理部门通报批评、整改、建议注销或处罚的，甲方有权立即终止合同，取消入库资格，没收履约保证金，并保留进一步处理权利。</w:t>
      </w:r>
    </w:p>
    <w:p w14:paraId="70E52597">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w:t>
      </w:r>
      <w:r>
        <w:rPr>
          <w:rFonts w:hint="eastAsia" w:ascii="宋体" w:hAnsi="宋体" w:cs="Arial"/>
          <w:b w:val="0"/>
          <w:bCs/>
          <w:color w:val="auto"/>
          <w:sz w:val="24"/>
          <w:szCs w:val="21"/>
          <w:lang w:val="en-US" w:eastAsia="zh-CN"/>
        </w:rPr>
        <w:t>二</w:t>
      </w:r>
      <w:r>
        <w:rPr>
          <w:rFonts w:hint="default" w:ascii="宋体" w:hAnsi="宋体" w:eastAsia="宋体" w:cs="Arial"/>
          <w:b w:val="0"/>
          <w:bCs/>
          <w:color w:val="auto"/>
          <w:sz w:val="24"/>
          <w:szCs w:val="21"/>
        </w:rPr>
        <w:t>）补充机制</w:t>
      </w:r>
    </w:p>
    <w:p w14:paraId="0E2F677D">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供应商库因清退等原因不足3家时，甲方可按原遴选文件评审规则，从未入库且符合资格条件的供应商中增补。</w:t>
      </w:r>
    </w:p>
    <w:p w14:paraId="4019E7A1">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2" w:firstLineChars="200"/>
        <w:textAlignment w:val="auto"/>
        <w:rPr>
          <w:rFonts w:hint="default" w:ascii="宋体" w:hAnsi="宋体" w:eastAsia="宋体" w:cs="Arial"/>
          <w:b/>
          <w:bCs w:val="0"/>
          <w:color w:val="auto"/>
          <w:sz w:val="24"/>
          <w:szCs w:val="21"/>
        </w:rPr>
      </w:pPr>
      <w:r>
        <w:rPr>
          <w:rFonts w:hint="eastAsia" w:ascii="宋体" w:hAnsi="宋体" w:cs="Arial"/>
          <w:b/>
          <w:bCs w:val="0"/>
          <w:color w:val="auto"/>
          <w:sz w:val="24"/>
          <w:szCs w:val="21"/>
          <w:lang w:val="en-US" w:eastAsia="zh-CN"/>
        </w:rPr>
        <w:t>八</w:t>
      </w:r>
      <w:r>
        <w:rPr>
          <w:rFonts w:hint="default" w:ascii="宋体" w:hAnsi="宋体" w:eastAsia="宋体" w:cs="Arial"/>
          <w:b/>
          <w:bCs w:val="0"/>
          <w:color w:val="auto"/>
          <w:sz w:val="24"/>
          <w:szCs w:val="21"/>
        </w:rPr>
        <w:t>、违约责任</w:t>
      </w:r>
    </w:p>
    <w:p w14:paraId="33CF2909">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eastAsia" w:ascii="宋体" w:hAnsi="宋体" w:cs="Arial"/>
          <w:b w:val="0"/>
          <w:bCs/>
          <w:color w:val="auto"/>
          <w:sz w:val="24"/>
          <w:szCs w:val="21"/>
          <w:lang w:val="en-US" w:eastAsia="zh-CN"/>
        </w:rPr>
      </w:pPr>
      <w:r>
        <w:rPr>
          <w:rFonts w:hint="eastAsia" w:ascii="宋体" w:hAnsi="宋体" w:cs="Arial"/>
          <w:b w:val="0"/>
          <w:bCs/>
          <w:color w:val="auto"/>
          <w:sz w:val="24"/>
          <w:szCs w:val="21"/>
          <w:lang w:val="en-US" w:eastAsia="zh-CN"/>
        </w:rPr>
        <w:t>1. 甲方逾期付款的，每逾期一日，按应付未付款项的万分之三向乙方支付违约金；逾期超过 30 日的，乙方有权暂停后续工单服务，由此造成的服务延误损失由甲方承担。</w:t>
      </w:r>
    </w:p>
    <w:p w14:paraId="714BBD9B">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eastAsia" w:ascii="宋体" w:hAnsi="宋体" w:cs="Arial"/>
          <w:b w:val="0"/>
          <w:bCs/>
          <w:color w:val="auto"/>
          <w:sz w:val="24"/>
          <w:szCs w:val="21"/>
          <w:lang w:val="en-US" w:eastAsia="zh-CN"/>
        </w:rPr>
      </w:pPr>
      <w:r>
        <w:rPr>
          <w:rFonts w:hint="eastAsia" w:ascii="宋体" w:hAnsi="宋体" w:cs="Arial"/>
          <w:b w:val="0"/>
          <w:bCs/>
          <w:color w:val="auto"/>
          <w:sz w:val="24"/>
          <w:szCs w:val="21"/>
          <w:lang w:val="en-US" w:eastAsia="zh-CN"/>
        </w:rPr>
        <w:t>2 . 乙方未按工单约定时限响应报修、完成维保维修作业，每逾期一次，向甲方支付该份工单对应服务费 5‰的违约金。</w:t>
      </w:r>
    </w:p>
    <w:p w14:paraId="3754263A">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cs="Arial"/>
          <w:b w:val="0"/>
          <w:bCs/>
          <w:color w:val="auto"/>
          <w:sz w:val="24"/>
          <w:szCs w:val="21"/>
          <w:lang w:val="en-US" w:eastAsia="zh-CN"/>
        </w:rPr>
      </w:pPr>
      <w:r>
        <w:rPr>
          <w:rFonts w:hint="eastAsia" w:ascii="宋体" w:hAnsi="宋体" w:cs="Arial"/>
          <w:b w:val="0"/>
          <w:bCs/>
          <w:color w:val="auto"/>
          <w:sz w:val="24"/>
          <w:szCs w:val="21"/>
          <w:lang w:val="en-US" w:eastAsia="zh-CN"/>
        </w:rPr>
        <w:t>3.  乙方作业质量不达标、施工违规、维保遗漏的，甲方有权要求乙方无偿返工整改；如拒不整改，甲方有权暂停新工单派发，直至单方解除本框架协议；乙方需向甲方支付当期月度已结算服务费 20% 的违约金；造成甲方设备损坏、财产损失、安全事故的，乙方全额赔偿。</w:t>
      </w:r>
    </w:p>
    <w:p w14:paraId="3CDD90B1">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eastAsia" w:ascii="宋体" w:hAnsi="宋体" w:cs="Arial"/>
          <w:b w:val="0"/>
          <w:bCs/>
          <w:color w:val="auto"/>
          <w:sz w:val="24"/>
          <w:szCs w:val="21"/>
          <w:lang w:val="en-US" w:eastAsia="zh-CN"/>
        </w:rPr>
      </w:pPr>
      <w:r>
        <w:rPr>
          <w:rFonts w:hint="eastAsia" w:ascii="宋体" w:hAnsi="宋体" w:cs="Arial"/>
          <w:b w:val="0"/>
          <w:bCs/>
          <w:color w:val="auto"/>
          <w:sz w:val="24"/>
          <w:szCs w:val="21"/>
          <w:lang w:val="en-US" w:eastAsia="zh-CN"/>
        </w:rPr>
        <w:t>4. 乙方擅自突破全库统一协议单价收费、虚增维修工作量、虚报配件耗材、以次充好、擅自变更配件品牌型号规格的，甲方有权拒付全部违规部分款项，已经支付的甲方有权追回，同时甲方有权扣除履约保证金；给甲方造成损失的，乙方应予全额赔偿，情节严重的甲方可清退出库。</w:t>
      </w:r>
    </w:p>
    <w:p w14:paraId="28527BAB">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eastAsia" w:ascii="宋体" w:hAnsi="宋体" w:cs="Arial"/>
          <w:b w:val="0"/>
          <w:bCs/>
          <w:color w:val="auto"/>
          <w:sz w:val="24"/>
          <w:szCs w:val="21"/>
          <w:lang w:val="en-US" w:eastAsia="zh-CN"/>
        </w:rPr>
      </w:pPr>
      <w:r>
        <w:rPr>
          <w:rFonts w:hint="eastAsia" w:ascii="宋体" w:hAnsi="宋体" w:cs="Arial"/>
          <w:b w:val="0"/>
          <w:bCs/>
          <w:color w:val="auto"/>
          <w:sz w:val="24"/>
          <w:szCs w:val="21"/>
          <w:lang w:val="en-US" w:eastAsia="zh-CN"/>
        </w:rPr>
        <w:t>5. 乙方作业过程未遵守安全生产管理规范，发生安全事故、人身伤害、财产损毁的，全部责任由乙方承担；如给甲方或第三方造成人身、财产损失的，由乙方承担全部赔偿责任；发生重大安全责任事故的，甲方有权立即解除协议、清退出库、没收履约保证金。</w:t>
      </w:r>
    </w:p>
    <w:p w14:paraId="2919F97F">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eastAsia" w:ascii="宋体" w:hAnsi="宋体" w:cs="Arial"/>
          <w:b w:val="0"/>
          <w:bCs/>
          <w:color w:val="auto"/>
          <w:sz w:val="24"/>
          <w:szCs w:val="21"/>
          <w:lang w:val="en-US" w:eastAsia="zh-CN"/>
        </w:rPr>
      </w:pPr>
      <w:r>
        <w:rPr>
          <w:rFonts w:hint="eastAsia" w:ascii="宋体" w:hAnsi="宋体" w:cs="Arial"/>
          <w:b w:val="0"/>
          <w:bCs/>
          <w:color w:val="auto"/>
          <w:sz w:val="24"/>
          <w:szCs w:val="21"/>
          <w:lang w:val="en-US" w:eastAsia="zh-CN"/>
        </w:rPr>
        <w:t>6. 质保期内，因乙方维修、更换配件质量问题发生设备故障，乙方未按本协议时效要求免费到场处置的，甲方有权委托第三方单位代为开展维修处置，由此产生的全部费用（含第三方服务费、设备停运损失）由乙方承担，甲方有权直接从应付乙方结算款或履约保证金中抵扣，不足部分甲方继续向乙方追偿。</w:t>
      </w:r>
    </w:p>
    <w:p w14:paraId="4AFDB36B">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eastAsia" w:ascii="宋体" w:hAnsi="宋体" w:cs="Arial"/>
          <w:b w:val="0"/>
          <w:bCs/>
          <w:color w:val="auto"/>
          <w:sz w:val="24"/>
          <w:szCs w:val="21"/>
          <w:lang w:val="en-US" w:eastAsia="zh-CN"/>
        </w:rPr>
        <w:t>7. 乙方违反本协议其他约定，给甲方造成经济损失、名誉损失的，乙方应当承担全部赔偿责任；甲方有权视违约情节采取警告、扣减履约保证金、暂停任务抽签分配、清退出库等处置措施。</w:t>
      </w:r>
    </w:p>
    <w:p w14:paraId="67D771DA">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2" w:firstLineChars="200"/>
        <w:textAlignment w:val="auto"/>
        <w:rPr>
          <w:rFonts w:hint="default" w:ascii="宋体" w:hAnsi="宋体" w:eastAsia="宋体" w:cs="Arial"/>
          <w:b/>
          <w:bCs w:val="0"/>
          <w:color w:val="auto"/>
          <w:sz w:val="24"/>
          <w:szCs w:val="21"/>
        </w:rPr>
      </w:pPr>
      <w:r>
        <w:rPr>
          <w:rFonts w:hint="eastAsia" w:ascii="宋体" w:hAnsi="宋体" w:cs="Arial"/>
          <w:b/>
          <w:bCs w:val="0"/>
          <w:color w:val="auto"/>
          <w:sz w:val="24"/>
          <w:szCs w:val="21"/>
          <w:lang w:val="en-US" w:eastAsia="zh-CN"/>
        </w:rPr>
        <w:t>九</w:t>
      </w:r>
      <w:r>
        <w:rPr>
          <w:rFonts w:hint="default" w:ascii="宋体" w:hAnsi="宋体" w:eastAsia="宋体" w:cs="Arial"/>
          <w:b/>
          <w:bCs w:val="0"/>
          <w:color w:val="auto"/>
          <w:sz w:val="24"/>
          <w:szCs w:val="21"/>
        </w:rPr>
        <w:t>、争议解决</w:t>
      </w:r>
    </w:p>
    <w:p w14:paraId="11FE8212">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1.  本协议履行过程中发生的争议，双方应先协商解决；协商不成的，提交甲方所在地有管辖权的人民法院诉讼解决。</w:t>
      </w:r>
    </w:p>
    <w:p w14:paraId="26B86BB7">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2.  争议解决期间，除争议事项外，双方应继续履行本协议其他条款。</w:t>
      </w:r>
    </w:p>
    <w:p w14:paraId="1C43292D">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2" w:firstLineChars="200"/>
        <w:textAlignment w:val="auto"/>
        <w:rPr>
          <w:rFonts w:hint="default" w:ascii="宋体" w:hAnsi="宋体" w:eastAsia="宋体" w:cs="Arial"/>
          <w:b/>
          <w:bCs w:val="0"/>
          <w:color w:val="auto"/>
          <w:sz w:val="24"/>
          <w:szCs w:val="21"/>
        </w:rPr>
      </w:pPr>
      <w:r>
        <w:rPr>
          <w:rFonts w:hint="eastAsia" w:ascii="宋体" w:hAnsi="宋体" w:cs="Arial"/>
          <w:b/>
          <w:bCs w:val="0"/>
          <w:color w:val="auto"/>
          <w:sz w:val="24"/>
          <w:szCs w:val="21"/>
          <w:lang w:val="en-US" w:eastAsia="zh-CN"/>
        </w:rPr>
        <w:t>十</w:t>
      </w:r>
      <w:r>
        <w:rPr>
          <w:rFonts w:hint="default" w:ascii="宋体" w:hAnsi="宋体" w:eastAsia="宋体" w:cs="Arial"/>
          <w:b/>
          <w:bCs w:val="0"/>
          <w:color w:val="auto"/>
          <w:sz w:val="24"/>
          <w:szCs w:val="21"/>
        </w:rPr>
        <w:t>、其他条款</w:t>
      </w:r>
    </w:p>
    <w:p w14:paraId="49247808">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1.  本协议自双方签名盖章之日起生效，有效期</w:t>
      </w:r>
      <w:r>
        <w:rPr>
          <w:rFonts w:hint="eastAsia" w:ascii="宋体" w:hAnsi="宋体" w:cs="Arial"/>
          <w:b w:val="0"/>
          <w:bCs/>
          <w:color w:val="auto"/>
          <w:sz w:val="24"/>
          <w:szCs w:val="21"/>
          <w:lang w:val="en-US" w:eastAsia="zh-CN"/>
        </w:rPr>
        <w:t>1</w:t>
      </w:r>
      <w:r>
        <w:rPr>
          <w:rFonts w:hint="default" w:ascii="宋体" w:hAnsi="宋体" w:eastAsia="宋体" w:cs="Arial"/>
          <w:b w:val="0"/>
          <w:bCs/>
          <w:color w:val="auto"/>
          <w:sz w:val="24"/>
          <w:szCs w:val="21"/>
        </w:rPr>
        <w:t>年（自供应商库组建完成之日起计算）。</w:t>
      </w:r>
    </w:p>
    <w:p w14:paraId="0FC93CA3">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2.  本协议未尽事宜，双方可另行签订补充协议，补充协议与本协议具有同等法律效力。</w:t>
      </w:r>
    </w:p>
    <w:p w14:paraId="2F9E37E7">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3.  本协议附件（</w:t>
      </w:r>
      <w:r>
        <w:rPr>
          <w:rFonts w:hint="eastAsia" w:ascii="宋体" w:hAnsi="宋体" w:cs="Arial"/>
          <w:b w:val="0"/>
          <w:bCs/>
          <w:color w:val="auto"/>
          <w:sz w:val="24"/>
          <w:szCs w:val="21"/>
          <w:lang w:eastAsia="zh-CN"/>
        </w:rPr>
        <w:t>充电桩维修服务清单</w:t>
      </w:r>
      <w:r>
        <w:rPr>
          <w:rFonts w:hint="default" w:ascii="宋体" w:hAnsi="宋体" w:eastAsia="宋体" w:cs="Arial"/>
          <w:b w:val="0"/>
          <w:bCs/>
          <w:color w:val="auto"/>
          <w:sz w:val="24"/>
          <w:szCs w:val="21"/>
        </w:rPr>
        <w:t>）为本协议不可分割的组成部分，与本协议具有同等法律效力。</w:t>
      </w:r>
    </w:p>
    <w:p w14:paraId="53A93DFB">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4.  本协议一式肆份，甲方执贰份，乙方执贰份，具有同等法律效力。</w:t>
      </w:r>
    </w:p>
    <w:p w14:paraId="19D5E664">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（以下无正文）</w:t>
      </w:r>
    </w:p>
    <w:p w14:paraId="0A983BE7">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甲方（盖章）：</w:t>
      </w:r>
      <w:r>
        <w:rPr>
          <w:rFonts w:hint="eastAsia" w:ascii="宋体" w:hAnsi="宋体" w:cs="Arial"/>
          <w:b w:val="0"/>
          <w:bCs/>
          <w:color w:val="auto"/>
          <w:sz w:val="24"/>
          <w:szCs w:val="21"/>
          <w:lang w:val="en-US" w:eastAsia="zh-CN"/>
        </w:rPr>
        <w:t xml:space="preserve">               </w:t>
      </w:r>
      <w:r>
        <w:rPr>
          <w:rFonts w:hint="default" w:ascii="宋体" w:hAnsi="宋体" w:eastAsia="宋体" w:cs="Arial"/>
          <w:b w:val="0"/>
          <w:bCs/>
          <w:color w:val="auto"/>
          <w:sz w:val="24"/>
          <w:szCs w:val="21"/>
        </w:rPr>
        <w:tab/>
      </w:r>
      <w:r>
        <w:rPr>
          <w:rFonts w:hint="default" w:ascii="宋体" w:hAnsi="宋体" w:eastAsia="宋体" w:cs="Arial"/>
          <w:b w:val="0"/>
          <w:bCs/>
          <w:color w:val="auto"/>
          <w:sz w:val="24"/>
          <w:szCs w:val="21"/>
        </w:rPr>
        <w:t>乙方（盖章）：</w:t>
      </w:r>
    </w:p>
    <w:p w14:paraId="1456860B">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法定代表人/授权代表（签名）：</w:t>
      </w:r>
      <w:r>
        <w:rPr>
          <w:rFonts w:hint="default" w:ascii="宋体" w:hAnsi="宋体" w:eastAsia="宋体" w:cs="Arial"/>
          <w:b w:val="0"/>
          <w:bCs/>
          <w:color w:val="auto"/>
          <w:sz w:val="24"/>
          <w:szCs w:val="21"/>
        </w:rPr>
        <w:tab/>
      </w:r>
      <w:r>
        <w:rPr>
          <w:rFonts w:hint="default" w:ascii="宋体" w:hAnsi="宋体" w:eastAsia="宋体" w:cs="Arial"/>
          <w:b w:val="0"/>
          <w:bCs/>
          <w:color w:val="auto"/>
          <w:sz w:val="24"/>
          <w:szCs w:val="21"/>
        </w:rPr>
        <w:t>法定代表人/授权代表（签名）：</w:t>
      </w:r>
    </w:p>
    <w:p w14:paraId="7AD1F0E1">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签订日期：      年   月   日</w:t>
      </w:r>
      <w:r>
        <w:rPr>
          <w:rFonts w:hint="default" w:ascii="宋体" w:hAnsi="宋体" w:eastAsia="宋体" w:cs="Arial"/>
          <w:b w:val="0"/>
          <w:bCs/>
          <w:color w:val="auto"/>
          <w:sz w:val="24"/>
          <w:szCs w:val="21"/>
        </w:rPr>
        <w:tab/>
      </w:r>
      <w:r>
        <w:rPr>
          <w:rFonts w:hint="default" w:ascii="宋体" w:hAnsi="宋体" w:eastAsia="宋体" w:cs="Arial"/>
          <w:b w:val="0"/>
          <w:bCs/>
          <w:color w:val="auto"/>
          <w:sz w:val="24"/>
          <w:szCs w:val="21"/>
        </w:rPr>
        <w:t>签订日期：      年   月   日</w:t>
      </w:r>
    </w:p>
    <w:p w14:paraId="52652AEF">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附件：</w:t>
      </w:r>
    </w:p>
    <w:p w14:paraId="6ACB5689">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0" w:firstLineChars="200"/>
        <w:textAlignment w:val="auto"/>
        <w:rPr>
          <w:rFonts w:hint="default" w:ascii="宋体" w:hAnsi="宋体" w:eastAsia="宋体" w:cs="Arial"/>
          <w:b w:val="0"/>
          <w:bCs/>
          <w:color w:val="auto"/>
          <w:sz w:val="24"/>
          <w:szCs w:val="21"/>
        </w:rPr>
      </w:pPr>
      <w:r>
        <w:rPr>
          <w:rFonts w:hint="default" w:ascii="宋体" w:hAnsi="宋体" w:eastAsia="宋体" w:cs="Arial"/>
          <w:b w:val="0"/>
          <w:bCs/>
          <w:color w:val="auto"/>
          <w:sz w:val="24"/>
          <w:szCs w:val="21"/>
        </w:rPr>
        <w:t>1. 充电桩维修服务清单</w:t>
      </w:r>
    </w:p>
    <w:p w14:paraId="599E2B39">
      <w:pPr>
        <w:keepNext w:val="0"/>
        <w:keepLines w:val="0"/>
        <w:pageBreakBefore w:val="0"/>
        <w:widowControl w:val="0"/>
        <w:kinsoku/>
        <w:wordWrap/>
        <w:overflowPunct/>
        <w:topLinePunct w:val="0"/>
        <w:autoSpaceDE/>
        <w:autoSpaceDN/>
        <w:bidi w:val="0"/>
        <w:adjustRightInd/>
        <w:snapToGrid/>
        <w:spacing w:before="78" w:beforeLines="25" w:after="78" w:afterLines="25" w:line="360" w:lineRule="auto"/>
        <w:ind w:firstLine="482" w:firstLineChars="200"/>
        <w:textAlignment w:val="auto"/>
        <w:rPr>
          <w:rFonts w:hint="default" w:ascii="宋体" w:hAnsi="宋体" w:eastAsia="宋体" w:cs="Arial"/>
          <w:b/>
          <w:color w:val="0000FF"/>
          <w:sz w:val="24"/>
          <w:szCs w:val="21"/>
        </w:rPr>
      </w:pPr>
    </w:p>
    <w:p w14:paraId="46907458">
      <w:pPr>
        <w:spacing w:before="78" w:beforeLines="25" w:after="78" w:afterLines="25" w:line="276" w:lineRule="auto"/>
        <w:ind w:firstLine="482" w:firstLineChars="200"/>
        <w:rPr>
          <w:rFonts w:hint="default" w:ascii="宋体" w:hAnsi="宋体" w:eastAsia="宋体" w:cs="Arial"/>
          <w:b/>
          <w:color w:val="0000FF"/>
          <w:sz w:val="24"/>
          <w:szCs w:val="21"/>
        </w:rPr>
      </w:pPr>
    </w:p>
    <w:p w14:paraId="5598C1D3">
      <w:pPr>
        <w:pStyle w:val="16"/>
        <w:spacing w:before="0" w:after="0" w:line="360" w:lineRule="auto"/>
        <w:rPr>
          <w:rFonts w:hint="eastAsia" w:ascii="宋体" w:hAnsi="宋体" w:cs="宋体"/>
          <w:sz w:val="24"/>
          <w:szCs w:val="24"/>
        </w:rPr>
        <w:sectPr>
          <w:pgSz w:w="11906" w:h="16838"/>
          <w:pgMar w:top="1440" w:right="1800" w:bottom="1440" w:left="1800" w:header="851" w:footer="992" w:gutter="0"/>
          <w:pgNumType w:fmt="decimal"/>
          <w:cols w:space="425" w:num="1"/>
          <w:docGrid w:type="lines" w:linePitch="312" w:charSpace="0"/>
        </w:sectPr>
      </w:pPr>
    </w:p>
    <w:p w14:paraId="0E12B9BA">
      <w:pPr>
        <w:pStyle w:val="16"/>
        <w:keepNext w:val="0"/>
        <w:keepLines w:val="0"/>
        <w:pageBreakBefore w:val="0"/>
        <w:widowControl w:val="0"/>
        <w:kinsoku/>
        <w:wordWrap/>
        <w:overflowPunct/>
        <w:topLinePunct w:val="0"/>
        <w:autoSpaceDE/>
        <w:autoSpaceDN/>
        <w:bidi w:val="0"/>
        <w:adjustRightInd/>
        <w:snapToGrid/>
        <w:spacing w:before="0" w:after="0" w:line="360" w:lineRule="auto"/>
        <w:textAlignment w:val="auto"/>
        <w:rPr>
          <w:rFonts w:ascii="宋体" w:hAnsi="宋体" w:cs="宋体"/>
          <w:sz w:val="24"/>
          <w:szCs w:val="24"/>
        </w:rPr>
      </w:pPr>
      <w:bookmarkStart w:id="292" w:name="_Toc3344"/>
      <w:bookmarkStart w:id="293" w:name="_Toc13800"/>
      <w:r>
        <w:rPr>
          <w:rFonts w:hint="eastAsia" w:ascii="宋体" w:hAnsi="宋体" w:cs="宋体"/>
          <w:sz w:val="24"/>
          <w:szCs w:val="24"/>
        </w:rPr>
        <w:t>廉洁协议</w:t>
      </w:r>
      <w:bookmarkEnd w:id="292"/>
      <w:bookmarkEnd w:id="293"/>
    </w:p>
    <w:p w14:paraId="542138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sz w:val="24"/>
          <w:szCs w:val="24"/>
        </w:rPr>
      </w:pPr>
      <w:r>
        <w:rPr>
          <w:rFonts w:hint="eastAsia" w:ascii="宋体" w:hAnsi="宋体" w:cs="宋体"/>
          <w:bCs/>
          <w:sz w:val="24"/>
          <w:szCs w:val="24"/>
        </w:rPr>
        <w:t xml:space="preserve">甲方：阜阳充电桩有限责任公司 </w:t>
      </w:r>
    </w:p>
    <w:p w14:paraId="6E0794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sz w:val="24"/>
          <w:szCs w:val="24"/>
        </w:rPr>
      </w:pPr>
      <w:r>
        <w:rPr>
          <w:rFonts w:hint="eastAsia" w:ascii="宋体" w:hAnsi="宋体" w:cs="宋体"/>
          <w:bCs/>
          <w:sz w:val="24"/>
          <w:szCs w:val="24"/>
        </w:rPr>
        <w:t xml:space="preserve">乙方： </w:t>
      </w:r>
    </w:p>
    <w:p w14:paraId="74A65A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鉴于双方已签署业务合同或合作协议，为充分体现公平、廉洁、诚信合作的精神，抵制商业贿赂和不正当竞争,维护甲乙双方的利益,保障交易的顺利进行，甲乙双方经协商签订本协议,作为双方共同遵守的廉洁合作行为准则。</w:t>
      </w:r>
    </w:p>
    <w:p w14:paraId="4E3F7E4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b/>
          <w:sz w:val="24"/>
          <w:szCs w:val="24"/>
        </w:rPr>
      </w:pPr>
      <w:r>
        <w:rPr>
          <w:rFonts w:hint="eastAsia" w:ascii="宋体" w:hAnsi="宋体" w:cs="宋体"/>
          <w:b/>
          <w:sz w:val="24"/>
          <w:szCs w:val="24"/>
        </w:rPr>
        <w:t>一、定义</w:t>
      </w:r>
    </w:p>
    <w:p w14:paraId="58B65A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下列用于协议书的文字，除依其文义需做另外的解释外，均依本条要求为准：</w:t>
      </w:r>
    </w:p>
    <w:p w14:paraId="6C4757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1、“不正当利益”包括但不限于以下情形：</w:t>
      </w:r>
    </w:p>
    <w:p w14:paraId="326322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（1）向甲方员工本人或者利害关系人提供任何利益或者利益输送：包括但不限于向甲方上述人员免费提供或者以不合理低价提供旅游、桑拿、沐足、按摩、唱KTV等宴请或各种娱乐场所的VIP卡、金卡、银卡等；</w:t>
      </w:r>
    </w:p>
    <w:p w14:paraId="2EA910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（2）向甲方员工本人或者利害关系人提供正常业务以外的接送服务或者报销差旅费，或者以明显不合理低价的形式向甲方上述人员提供商品；</w:t>
      </w:r>
    </w:p>
    <w:p w14:paraId="445C93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（3）向甲方员工本人或者利害关系人提供借款或者允许上述人员参股乙方企业或关联企业等其他形式的资金及财务往来；</w:t>
      </w:r>
    </w:p>
    <w:p w14:paraId="174E19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（4）以任何形式参加甲方员工或者利害关系人的婚庆、生日等活动，或为甲方上述人员装修住房、婚丧嫁娶、利害关系人工作安排以及出国（境）、旅游、谋取工作机会等提供方便；</w:t>
      </w:r>
    </w:p>
    <w:p w14:paraId="44E29C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（5）其他应当被认定为不正当利益的情形。</w:t>
      </w:r>
    </w:p>
    <w:p w14:paraId="13F373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2、“甲方人员”是指甲方或甲方关联公司以及相关组织之员工、代理人、谈判代表等。</w:t>
      </w:r>
    </w:p>
    <w:p w14:paraId="737DE2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3、“利害关系人”包括但不限于甲方人员的配偶、直系亲属以及其它关系密切的亲属、朋友。</w:t>
      </w:r>
    </w:p>
    <w:p w14:paraId="62638A4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b/>
          <w:sz w:val="24"/>
          <w:szCs w:val="24"/>
        </w:rPr>
      </w:pPr>
      <w:r>
        <w:rPr>
          <w:rFonts w:hint="eastAsia" w:ascii="宋体" w:hAnsi="宋体" w:cs="宋体"/>
          <w:b/>
          <w:sz w:val="24"/>
          <w:szCs w:val="24"/>
        </w:rPr>
        <w:t>二、甲方的权利义务</w:t>
      </w:r>
    </w:p>
    <w:p w14:paraId="1409F7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1、甲方已向乙方充分披露了本单位有关廉洁合作管理的各项制度和规定。</w:t>
      </w:r>
    </w:p>
    <w:p w14:paraId="4EAC0E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2、甲方鼓励乙方举报不当利益行为，并承诺对举报者予以保密，且举报一经查实，甲方将按相应的管理制度给予乙方适当的奖励。</w:t>
      </w:r>
    </w:p>
    <w:p w14:paraId="552070A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b/>
          <w:sz w:val="24"/>
          <w:szCs w:val="24"/>
        </w:rPr>
      </w:pPr>
      <w:r>
        <w:rPr>
          <w:rFonts w:hint="eastAsia" w:ascii="宋体" w:hAnsi="宋体" w:cs="宋体"/>
          <w:b/>
          <w:sz w:val="24"/>
          <w:szCs w:val="24"/>
        </w:rPr>
        <w:t>三、乙方的权利义务</w:t>
      </w:r>
    </w:p>
    <w:p w14:paraId="69BB93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1、乙方同意并接受甲方对其在合作期间的廉洁合作管理执行情况进行监督。</w:t>
      </w:r>
    </w:p>
    <w:p w14:paraId="3BD671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2、乙方保证向其员工告知，且使其员工了解甲方单位有关廉洁合作管理的各项制度及本协议的规定，并遵照执行，不得在业务洽谈、招标、签约、合同履行等业务开展过程</w:t>
      </w:r>
    </w:p>
    <w:p w14:paraId="27D790D9">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r>
        <w:rPr>
          <w:rFonts w:hint="eastAsia" w:ascii="宋体" w:hAnsi="宋体" w:cs="宋体"/>
          <w:sz w:val="24"/>
          <w:szCs w:val="24"/>
        </w:rPr>
        <w:t>中以任何理由向甲方人员及利害关系人给予任何贿赂、送礼、回扣等不正当利益。</w:t>
      </w:r>
    </w:p>
    <w:p w14:paraId="4C664B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3、乙方有权拒绝甲方人员及利害关系人任何形式的“不正当利益”要求，乙方保证不通过乙方员工、关联公司、利害关系人实施以下行为：向甲方人员及利害关系人进行任何贿赂或给付其它不正当利益；应甲方人员及利害关系人提出的索要不正当利益的要求而给予不正当利益；未经甲方书面同意而与甲方人员及利害关系人之间发生款项来往，否则该款项将视为不正当利益。</w:t>
      </w:r>
    </w:p>
    <w:p w14:paraId="3DAC3D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4、如乙方知悉甲方人员及其它甲方交易对象有违反本协议书约定的行为，乙方有义务向甲方举报，并提供相关证据。</w:t>
      </w:r>
    </w:p>
    <w:p w14:paraId="2C35CC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5、乙方同意决不为自己或他人的利益，以任何形式唆使或利诱甲方员工离职或违背职务。</w:t>
      </w:r>
    </w:p>
    <w:p w14:paraId="599CA3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6、乙方如与甲方员工为“利害关系人”时，乙方应将该事实立即披露给甲方，否则可视为甲方员工与乙方存在关联关系未申报，甲方可依据《责任追究管理办法》对乙方进行追责。</w:t>
      </w:r>
    </w:p>
    <w:p w14:paraId="6F4054B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b/>
          <w:sz w:val="24"/>
          <w:szCs w:val="24"/>
        </w:rPr>
      </w:pPr>
      <w:r>
        <w:rPr>
          <w:rFonts w:hint="eastAsia" w:ascii="宋体" w:hAnsi="宋体" w:cs="宋体"/>
          <w:b/>
          <w:sz w:val="24"/>
          <w:szCs w:val="24"/>
        </w:rPr>
        <w:t>四、违约责任</w:t>
      </w:r>
    </w:p>
    <w:p w14:paraId="198EC1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一旦发现乙方或乙方员工或乙方关联公司、乙方利害关系人违反有关法律或本协议任何约定的，均视为乙方重大违约，乙方应向甲方承担以下一种或多种违约责任，且甲方有权直接从货款或工程款或质保金等任何应付款项中直接抵扣相关违约金及赔偿金，金额不足的，甲方有权向乙方追偿：</w:t>
      </w:r>
    </w:p>
    <w:p w14:paraId="61DC30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1、甲方有权单方解除与乙方所签订的业务合同或合作协议，并有权选择立即中止、终止与乙方正在进行的任何交易关系，乙方应按业务合同或合作协议的约定向甲方承担违约责任；</w:t>
      </w:r>
    </w:p>
    <w:p w14:paraId="702458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2、乙方应将所获得的不当价差（不当价差=业务合同或合作协议所约定的价格-甲方委托有资质的第三方作出的评估价格）返还给甲方；</w:t>
      </w:r>
    </w:p>
    <w:p w14:paraId="0BD654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3、乙方应支付甲方相当于贿赂款或不当价差十倍的惩罚性违约金（最低不少于壹拾万元人民币）；</w:t>
      </w:r>
    </w:p>
    <w:p w14:paraId="5B26AC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4、如乙方违约，甲方有权将其列入黑名单，永久停止合作。</w:t>
      </w:r>
    </w:p>
    <w:p w14:paraId="691E3B3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b/>
          <w:sz w:val="24"/>
          <w:szCs w:val="24"/>
        </w:rPr>
      </w:pPr>
      <w:r>
        <w:rPr>
          <w:rFonts w:hint="eastAsia" w:ascii="宋体" w:hAnsi="宋体" w:cs="宋体"/>
          <w:b/>
          <w:sz w:val="24"/>
          <w:szCs w:val="24"/>
        </w:rPr>
        <w:t>五、举报方法：</w:t>
      </w:r>
    </w:p>
    <w:p w14:paraId="7CFD04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举报人可通过以下方式进行举报：</w:t>
      </w:r>
    </w:p>
    <w:p w14:paraId="10A559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1、电话：0558-</w:t>
      </w:r>
      <w:r>
        <w:rPr>
          <w:rFonts w:hint="eastAsia" w:ascii="宋体" w:hAnsi="宋体" w:cs="宋体"/>
          <w:sz w:val="24"/>
          <w:szCs w:val="24"/>
          <w:lang w:eastAsia="zh-CN"/>
        </w:rPr>
        <w:t>2182619</w:t>
      </w:r>
      <w:r>
        <w:rPr>
          <w:rFonts w:hint="eastAsia" w:ascii="宋体" w:hAnsi="宋体" w:cs="宋体"/>
          <w:sz w:val="24"/>
          <w:szCs w:val="24"/>
        </w:rPr>
        <w:t>；</w:t>
      </w:r>
    </w:p>
    <w:p w14:paraId="5CD78E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2、电子邮件：</w:t>
      </w:r>
    </w:p>
    <w:p w14:paraId="31323A56">
      <w:pPr>
        <w:keepNext w:val="0"/>
        <w:keepLines w:val="0"/>
        <w:pageBreakBefore w:val="0"/>
        <w:widowControl w:val="0"/>
        <w:kinsoku/>
        <w:wordWrap/>
        <w:overflowPunct/>
        <w:topLinePunct w:val="0"/>
        <w:autoSpaceDE/>
        <w:autoSpaceDN/>
        <w:bidi w:val="0"/>
        <w:adjustRightInd/>
        <w:snapToGrid/>
        <w:spacing w:line="360" w:lineRule="auto"/>
        <w:ind w:firstLine="840" w:firstLineChars="350"/>
        <w:textAlignment w:val="auto"/>
        <w:rPr>
          <w:rFonts w:hint="eastAsia" w:ascii="宋体" w:hAnsi="宋体" w:cs="宋体"/>
          <w:sz w:val="24"/>
          <w:szCs w:val="24"/>
        </w:rPr>
      </w:pPr>
      <w:r>
        <w:rPr>
          <w:rFonts w:hint="eastAsia" w:ascii="宋体" w:hAnsi="宋体" w:cs="宋体"/>
          <w:sz w:val="24"/>
          <w:szCs w:val="24"/>
          <w:lang w:val="en-US" w:eastAsia="zh-CN"/>
        </w:rPr>
        <w:t>阜阳充电桩有限责任公司</w:t>
      </w:r>
      <w:r>
        <w:rPr>
          <w:rFonts w:hint="eastAsia" w:ascii="宋体" w:hAnsi="宋体" w:cs="宋体"/>
          <w:sz w:val="24"/>
          <w:szCs w:val="24"/>
        </w:rPr>
        <w:t>电子信箱：</w:t>
      </w:r>
      <w:r>
        <w:rPr>
          <w:rFonts w:hint="eastAsia" w:ascii="宋体" w:hAnsi="宋体" w:cs="宋体"/>
          <w:sz w:val="24"/>
          <w:szCs w:val="24"/>
          <w:lang w:val="en-US" w:eastAsia="zh-CN"/>
        </w:rPr>
        <w:t>fycdzzc</w:t>
      </w:r>
      <w:r>
        <w:rPr>
          <w:rFonts w:hint="eastAsia" w:ascii="宋体" w:hAnsi="宋体" w:cs="宋体"/>
          <w:sz w:val="24"/>
          <w:szCs w:val="24"/>
        </w:rPr>
        <w:t>@163.com ；</w:t>
      </w:r>
    </w:p>
    <w:p w14:paraId="0F4DEF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3、书信邮寄：安徽省阜阳市颍州区清河街道淮河路2000号建投大厦1</w:t>
      </w:r>
      <w:r>
        <w:rPr>
          <w:rFonts w:hint="eastAsia" w:ascii="宋体" w:hAnsi="宋体" w:cs="宋体"/>
          <w:sz w:val="24"/>
          <w:szCs w:val="24"/>
          <w:lang w:val="en-US" w:eastAsia="zh-CN"/>
        </w:rPr>
        <w:t>2</w:t>
      </w:r>
      <w:r>
        <w:rPr>
          <w:rFonts w:hint="eastAsia" w:ascii="宋体" w:hAnsi="宋体" w:cs="宋体"/>
          <w:sz w:val="24"/>
          <w:szCs w:val="24"/>
        </w:rPr>
        <w:t>楼。</w:t>
      </w:r>
    </w:p>
    <w:p w14:paraId="786A0AD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b/>
          <w:sz w:val="24"/>
          <w:szCs w:val="24"/>
        </w:rPr>
      </w:pPr>
      <w:r>
        <w:rPr>
          <w:rFonts w:hint="eastAsia" w:ascii="宋体" w:hAnsi="宋体" w:cs="宋体"/>
          <w:b/>
          <w:sz w:val="24"/>
          <w:szCs w:val="24"/>
        </w:rPr>
        <w:t>六、其它约定</w:t>
      </w:r>
    </w:p>
    <w:p w14:paraId="0D814F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1、本协议书适用于中华人民共和国法律，经双方盖章之日起生效。</w:t>
      </w:r>
    </w:p>
    <w:p w14:paraId="03604D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2、本协议作为双方已签署业务合同或合作协议的补充协议，为双方自愿签订，是业务合同或合作协议的有效组成部分，业务合同或合作协议中有关廉洁合作内容与本协议书有分歧或意思表达不一致之处，以本协议书为准；双方业务合同或合作协议的变更或解除，不影响甲方按本协议约定向乙方追究责任及要求赔偿损失的权利。</w:t>
      </w:r>
    </w:p>
    <w:p w14:paraId="16A90A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3、因本协议产生的一切争议，双方应协商解决，协商不成，任何一方均有权向甲方所在地人民法院提起诉讼。</w:t>
      </w:r>
    </w:p>
    <w:p w14:paraId="17AAC9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trike/>
          <w:sz w:val="24"/>
          <w:szCs w:val="24"/>
        </w:rPr>
      </w:pPr>
      <w:r>
        <w:rPr>
          <w:rFonts w:hint="eastAsia" w:ascii="宋体" w:hAnsi="宋体" w:cs="宋体"/>
          <w:sz w:val="24"/>
          <w:szCs w:val="24"/>
        </w:rPr>
        <w:t>4、本协议书一式</w:t>
      </w:r>
      <w:r>
        <w:rPr>
          <w:rFonts w:hint="eastAsia" w:ascii="宋体" w:hAnsi="宋体" w:cs="宋体"/>
          <w:sz w:val="24"/>
          <w:szCs w:val="24"/>
          <w:lang w:val="en-US" w:eastAsia="zh-CN"/>
        </w:rPr>
        <w:t>肆</w:t>
      </w:r>
      <w:r>
        <w:rPr>
          <w:rFonts w:hint="eastAsia" w:ascii="宋体" w:hAnsi="宋体" w:cs="宋体"/>
          <w:sz w:val="24"/>
          <w:szCs w:val="24"/>
        </w:rPr>
        <w:t>份，甲方</w:t>
      </w:r>
      <w:r>
        <w:rPr>
          <w:rFonts w:hint="eastAsia" w:ascii="宋体" w:hAnsi="宋体" w:cs="宋体"/>
          <w:sz w:val="24"/>
          <w:szCs w:val="24"/>
          <w:lang w:val="en-US" w:eastAsia="zh-CN"/>
        </w:rPr>
        <w:t>贰</w:t>
      </w:r>
      <w:r>
        <w:rPr>
          <w:rFonts w:hint="eastAsia" w:ascii="宋体" w:hAnsi="宋体" w:cs="宋体"/>
          <w:sz w:val="24"/>
          <w:szCs w:val="24"/>
        </w:rPr>
        <w:t>份，乙方</w:t>
      </w:r>
      <w:r>
        <w:rPr>
          <w:rFonts w:hint="eastAsia" w:ascii="宋体" w:hAnsi="宋体" w:cs="宋体"/>
          <w:sz w:val="24"/>
          <w:szCs w:val="24"/>
          <w:lang w:val="en-US" w:eastAsia="zh-CN"/>
        </w:rPr>
        <w:t>贰</w:t>
      </w:r>
      <w:r>
        <w:rPr>
          <w:rFonts w:hint="eastAsia" w:ascii="宋体" w:hAnsi="宋体" w:cs="宋体"/>
          <w:sz w:val="24"/>
          <w:szCs w:val="24"/>
        </w:rPr>
        <w:t>份，具有同等法律效力。</w:t>
      </w:r>
    </w:p>
    <w:p w14:paraId="3383EC68">
      <w:pPr>
        <w:spacing w:line="360" w:lineRule="auto"/>
        <w:ind w:firstLine="480" w:firstLineChars="200"/>
        <w:rPr>
          <w:rFonts w:ascii="宋体" w:hAnsi="宋体" w:cs="宋体"/>
          <w:sz w:val="24"/>
          <w:szCs w:val="24"/>
        </w:rPr>
      </w:pPr>
    </w:p>
    <w:tbl>
      <w:tblPr>
        <w:tblStyle w:val="19"/>
        <w:tblpPr w:leftFromText="180" w:rightFromText="180" w:vertAnchor="text" w:horzAnchor="page" w:tblpX="2006" w:tblpY="24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80"/>
        <w:gridCol w:w="3746"/>
      </w:tblGrid>
      <w:tr w14:paraId="45989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4180" w:type="dxa"/>
            <w:noWrap w:val="0"/>
            <w:vAlign w:val="center"/>
          </w:tcPr>
          <w:p w14:paraId="0CB682F0">
            <w:pPr>
              <w:keepNext w:val="0"/>
              <w:keepLines w:val="0"/>
              <w:suppressLineNumbers w:val="0"/>
              <w:tabs>
                <w:tab w:val="right" w:pos="8306"/>
              </w:tabs>
              <w:spacing w:before="0" w:beforeAutospacing="0" w:after="0" w:afterAutospacing="0" w:line="360" w:lineRule="auto"/>
              <w:ind w:left="0" w:right="0"/>
              <w:rPr>
                <w:rFonts w:hint="default" w:ascii="宋体" w:hAnsi="宋体" w:cs="宋体"/>
                <w:sz w:val="24"/>
                <w:szCs w:val="24"/>
              </w:rPr>
            </w:pPr>
            <w:r>
              <w:rPr>
                <w:rFonts w:hint="eastAsia" w:ascii="宋体" w:hAnsi="宋体" w:cs="宋体"/>
                <w:sz w:val="24"/>
                <w:szCs w:val="24"/>
              </w:rPr>
              <w:t>甲方（盖章）：</w:t>
            </w:r>
          </w:p>
          <w:p w14:paraId="04E31245">
            <w:pPr>
              <w:keepNext w:val="0"/>
              <w:keepLines w:val="0"/>
              <w:suppressLineNumbers w:val="0"/>
              <w:tabs>
                <w:tab w:val="right" w:pos="8306"/>
              </w:tabs>
              <w:spacing w:before="0" w:beforeAutospacing="0" w:after="0" w:afterAutospacing="0" w:line="360" w:lineRule="auto"/>
              <w:ind w:left="0" w:right="0"/>
              <w:rPr>
                <w:rFonts w:hint="default" w:ascii="宋体" w:hAnsi="宋体" w:cs="宋体"/>
                <w:sz w:val="24"/>
                <w:szCs w:val="24"/>
              </w:rPr>
            </w:pPr>
          </w:p>
          <w:p w14:paraId="2B2AF720">
            <w:pPr>
              <w:keepNext w:val="0"/>
              <w:keepLines w:val="0"/>
              <w:suppressLineNumbers w:val="0"/>
              <w:tabs>
                <w:tab w:val="right" w:pos="8306"/>
              </w:tabs>
              <w:spacing w:before="0" w:beforeAutospacing="0" w:after="0" w:afterAutospacing="0" w:line="360" w:lineRule="auto"/>
              <w:ind w:left="0" w:right="0"/>
              <w:rPr>
                <w:rFonts w:hint="default" w:ascii="宋体" w:hAnsi="宋体" w:cs="宋体"/>
                <w:sz w:val="24"/>
                <w:szCs w:val="24"/>
              </w:rPr>
            </w:pPr>
          </w:p>
          <w:p w14:paraId="0488A374">
            <w:pPr>
              <w:keepNext w:val="0"/>
              <w:keepLines w:val="0"/>
              <w:suppressLineNumbers w:val="0"/>
              <w:tabs>
                <w:tab w:val="right" w:pos="8306"/>
              </w:tabs>
              <w:spacing w:before="0" w:beforeAutospacing="0" w:after="0" w:afterAutospacing="0" w:line="360" w:lineRule="auto"/>
              <w:ind w:left="0" w:right="0"/>
              <w:rPr>
                <w:rFonts w:hint="default" w:ascii="宋体" w:hAnsi="宋体" w:cs="宋体"/>
                <w:sz w:val="24"/>
                <w:szCs w:val="24"/>
              </w:rPr>
            </w:pPr>
          </w:p>
        </w:tc>
        <w:tc>
          <w:tcPr>
            <w:tcW w:w="3746" w:type="dxa"/>
            <w:noWrap w:val="0"/>
            <w:vAlign w:val="center"/>
          </w:tcPr>
          <w:p w14:paraId="145BB31A">
            <w:pPr>
              <w:keepNext w:val="0"/>
              <w:keepLines w:val="0"/>
              <w:suppressLineNumbers w:val="0"/>
              <w:tabs>
                <w:tab w:val="right" w:pos="8306"/>
              </w:tabs>
              <w:spacing w:before="0" w:beforeAutospacing="0" w:after="0" w:afterAutospacing="0" w:line="360" w:lineRule="auto"/>
              <w:ind w:left="0" w:right="0"/>
              <w:rPr>
                <w:rFonts w:hint="default" w:ascii="宋体" w:hAnsi="宋体" w:cs="宋体"/>
                <w:sz w:val="24"/>
                <w:szCs w:val="24"/>
              </w:rPr>
            </w:pPr>
            <w:r>
              <w:rPr>
                <w:rFonts w:hint="eastAsia" w:ascii="宋体" w:hAnsi="宋体" w:cs="宋体"/>
                <w:sz w:val="24"/>
                <w:szCs w:val="24"/>
              </w:rPr>
              <w:t>乙方（盖章）：</w:t>
            </w:r>
          </w:p>
          <w:p w14:paraId="6979BB21">
            <w:pPr>
              <w:keepNext w:val="0"/>
              <w:keepLines w:val="0"/>
              <w:suppressLineNumbers w:val="0"/>
              <w:tabs>
                <w:tab w:val="right" w:pos="8306"/>
              </w:tabs>
              <w:spacing w:before="0" w:beforeAutospacing="0" w:after="0" w:afterAutospacing="0" w:line="360" w:lineRule="auto"/>
              <w:ind w:left="0" w:right="0"/>
              <w:rPr>
                <w:rFonts w:hint="default" w:ascii="宋体" w:hAnsi="宋体" w:cs="宋体"/>
                <w:sz w:val="24"/>
                <w:szCs w:val="24"/>
              </w:rPr>
            </w:pPr>
          </w:p>
          <w:p w14:paraId="0C9CE9AC">
            <w:pPr>
              <w:keepNext w:val="0"/>
              <w:keepLines w:val="0"/>
              <w:suppressLineNumbers w:val="0"/>
              <w:tabs>
                <w:tab w:val="right" w:pos="8306"/>
              </w:tabs>
              <w:spacing w:before="0" w:beforeAutospacing="0" w:after="0" w:afterAutospacing="0" w:line="360" w:lineRule="auto"/>
              <w:ind w:left="0" w:right="0"/>
              <w:rPr>
                <w:rFonts w:hint="default" w:ascii="宋体" w:hAnsi="宋体" w:cs="宋体"/>
                <w:sz w:val="24"/>
                <w:szCs w:val="24"/>
              </w:rPr>
            </w:pPr>
          </w:p>
          <w:p w14:paraId="4422C4B1">
            <w:pPr>
              <w:keepNext w:val="0"/>
              <w:keepLines w:val="0"/>
              <w:suppressLineNumbers w:val="0"/>
              <w:tabs>
                <w:tab w:val="right" w:pos="8306"/>
              </w:tabs>
              <w:spacing w:before="0" w:beforeAutospacing="0" w:after="0" w:afterAutospacing="0" w:line="360" w:lineRule="auto"/>
              <w:ind w:left="0" w:right="0"/>
              <w:rPr>
                <w:rFonts w:hint="default" w:ascii="宋体" w:hAnsi="宋体" w:cs="宋体"/>
                <w:sz w:val="24"/>
                <w:szCs w:val="24"/>
              </w:rPr>
            </w:pPr>
          </w:p>
        </w:tc>
      </w:tr>
      <w:tr w14:paraId="1B515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4180" w:type="dxa"/>
            <w:noWrap w:val="0"/>
            <w:vAlign w:val="center"/>
          </w:tcPr>
          <w:p w14:paraId="13DE1151">
            <w:pPr>
              <w:keepNext w:val="0"/>
              <w:keepLines w:val="0"/>
              <w:suppressLineNumbers w:val="0"/>
              <w:tabs>
                <w:tab w:val="right" w:pos="8306"/>
              </w:tabs>
              <w:spacing w:before="0" w:beforeAutospacing="0" w:after="0" w:afterAutospacing="0" w:line="360" w:lineRule="auto"/>
              <w:ind w:left="0" w:right="0"/>
              <w:rPr>
                <w:rFonts w:hint="default" w:ascii="宋体" w:hAnsi="宋体" w:cs="宋体"/>
                <w:sz w:val="24"/>
                <w:szCs w:val="24"/>
              </w:rPr>
            </w:pPr>
            <w:r>
              <w:rPr>
                <w:rFonts w:hint="eastAsia" w:ascii="宋体" w:hAnsi="宋体" w:cs="宋体"/>
                <w:sz w:val="24"/>
                <w:szCs w:val="24"/>
              </w:rPr>
              <w:t>法人代表（签字）：</w:t>
            </w:r>
          </w:p>
          <w:p w14:paraId="27C807D0">
            <w:pPr>
              <w:keepNext w:val="0"/>
              <w:keepLines w:val="0"/>
              <w:suppressLineNumbers w:val="0"/>
              <w:tabs>
                <w:tab w:val="right" w:pos="8306"/>
              </w:tabs>
              <w:spacing w:before="0" w:beforeAutospacing="0" w:after="0" w:afterAutospacing="0" w:line="360" w:lineRule="auto"/>
              <w:ind w:left="0" w:right="0"/>
              <w:rPr>
                <w:rFonts w:hint="default" w:ascii="宋体" w:hAnsi="宋体" w:cs="宋体"/>
                <w:sz w:val="24"/>
                <w:szCs w:val="24"/>
              </w:rPr>
            </w:pPr>
          </w:p>
          <w:p w14:paraId="2CFBF449">
            <w:pPr>
              <w:keepNext w:val="0"/>
              <w:keepLines w:val="0"/>
              <w:suppressLineNumbers w:val="0"/>
              <w:tabs>
                <w:tab w:val="right" w:pos="8306"/>
              </w:tabs>
              <w:spacing w:before="0" w:beforeAutospacing="0" w:after="0" w:afterAutospacing="0" w:line="360" w:lineRule="auto"/>
              <w:ind w:left="0" w:right="0"/>
              <w:rPr>
                <w:rFonts w:hint="default" w:ascii="宋体" w:hAnsi="宋体" w:cs="宋体"/>
                <w:sz w:val="24"/>
                <w:szCs w:val="24"/>
              </w:rPr>
            </w:pPr>
          </w:p>
        </w:tc>
        <w:tc>
          <w:tcPr>
            <w:tcW w:w="3746" w:type="dxa"/>
            <w:noWrap w:val="0"/>
            <w:vAlign w:val="center"/>
          </w:tcPr>
          <w:p w14:paraId="05AE4118">
            <w:pPr>
              <w:keepNext w:val="0"/>
              <w:keepLines w:val="0"/>
              <w:suppressLineNumbers w:val="0"/>
              <w:tabs>
                <w:tab w:val="right" w:pos="8306"/>
              </w:tabs>
              <w:spacing w:before="0" w:beforeAutospacing="0" w:after="0" w:afterAutospacing="0" w:line="360" w:lineRule="auto"/>
              <w:ind w:left="0" w:right="0"/>
              <w:rPr>
                <w:rFonts w:hint="default" w:ascii="宋体" w:hAnsi="宋体" w:cs="宋体"/>
                <w:sz w:val="24"/>
                <w:szCs w:val="24"/>
              </w:rPr>
            </w:pPr>
            <w:r>
              <w:rPr>
                <w:rFonts w:hint="eastAsia" w:ascii="宋体" w:hAnsi="宋体" w:cs="宋体"/>
                <w:sz w:val="24"/>
                <w:szCs w:val="24"/>
              </w:rPr>
              <w:t>法人代表（签字）：</w:t>
            </w:r>
          </w:p>
          <w:p w14:paraId="2E830ACD">
            <w:pPr>
              <w:keepNext w:val="0"/>
              <w:keepLines w:val="0"/>
              <w:suppressLineNumbers w:val="0"/>
              <w:tabs>
                <w:tab w:val="right" w:pos="8306"/>
              </w:tabs>
              <w:spacing w:before="0" w:beforeAutospacing="0" w:after="0" w:afterAutospacing="0" w:line="360" w:lineRule="auto"/>
              <w:ind w:left="0" w:right="0"/>
              <w:rPr>
                <w:rFonts w:hint="default" w:ascii="宋体" w:hAnsi="宋体" w:cs="宋体"/>
                <w:sz w:val="24"/>
                <w:szCs w:val="24"/>
              </w:rPr>
            </w:pPr>
          </w:p>
          <w:p w14:paraId="513A4046">
            <w:pPr>
              <w:keepNext w:val="0"/>
              <w:keepLines w:val="0"/>
              <w:suppressLineNumbers w:val="0"/>
              <w:tabs>
                <w:tab w:val="right" w:pos="8306"/>
              </w:tabs>
              <w:spacing w:before="0" w:beforeAutospacing="0" w:after="0" w:afterAutospacing="0" w:line="360" w:lineRule="auto"/>
              <w:ind w:left="0" w:right="0"/>
              <w:rPr>
                <w:rFonts w:hint="default" w:ascii="宋体" w:hAnsi="宋体" w:cs="宋体"/>
                <w:sz w:val="24"/>
                <w:szCs w:val="24"/>
              </w:rPr>
            </w:pPr>
          </w:p>
        </w:tc>
      </w:tr>
    </w:tbl>
    <w:p w14:paraId="7E8C459F">
      <w:pPr>
        <w:pStyle w:val="14"/>
        <w:ind w:left="420" w:hanging="420"/>
      </w:pPr>
    </w:p>
    <w:p w14:paraId="478AE0C1">
      <w:pPr>
        <w:pStyle w:val="14"/>
        <w:ind w:left="420" w:hanging="420"/>
      </w:pPr>
    </w:p>
    <w:p w14:paraId="521BBECF">
      <w:pPr>
        <w:pStyle w:val="14"/>
        <w:ind w:left="420" w:hanging="420"/>
        <w:sectPr>
          <w:pgSz w:w="11906" w:h="16838"/>
          <w:pgMar w:top="1440" w:right="1800" w:bottom="1440" w:left="1800" w:header="851" w:footer="992" w:gutter="0"/>
          <w:pgNumType w:fmt="decimal"/>
          <w:cols w:space="425" w:num="1"/>
          <w:docGrid w:type="lines" w:linePitch="312" w:charSpace="0"/>
        </w:sectPr>
      </w:pPr>
    </w:p>
    <w:p w14:paraId="7594E8DD">
      <w:pPr>
        <w:pStyle w:val="14"/>
        <w:ind w:left="420" w:hanging="420"/>
      </w:pPr>
    </w:p>
    <w:p w14:paraId="3A0CDAE4">
      <w:pPr>
        <w:pStyle w:val="14"/>
        <w:ind w:left="420" w:hanging="420"/>
      </w:pPr>
    </w:p>
    <w:p w14:paraId="0FAACEF5">
      <w:pPr>
        <w:pStyle w:val="14"/>
        <w:ind w:left="420" w:hanging="420"/>
      </w:pPr>
    </w:p>
    <w:p w14:paraId="4540B912">
      <w:pPr>
        <w:adjustRightInd w:val="0"/>
        <w:snapToGrid w:val="0"/>
        <w:spacing w:line="360" w:lineRule="auto"/>
        <w:jc w:val="center"/>
        <w:outlineLvl w:val="0"/>
        <w:rPr>
          <w:rFonts w:ascii="宋体" w:hAnsi="宋体" w:cs="宋体"/>
          <w:b/>
          <w:bCs/>
          <w:kern w:val="44"/>
          <w:sz w:val="36"/>
          <w:szCs w:val="24"/>
        </w:rPr>
      </w:pPr>
      <w:bookmarkStart w:id="294" w:name="_Toc7749"/>
      <w:bookmarkStart w:id="295" w:name="_Toc1884"/>
      <w:r>
        <w:rPr>
          <w:rFonts w:hint="eastAsia" w:ascii="宋体" w:hAnsi="宋体" w:cs="宋体"/>
          <w:b/>
          <w:bCs/>
          <w:kern w:val="44"/>
          <w:sz w:val="36"/>
          <w:szCs w:val="24"/>
        </w:rPr>
        <w:t>第</w:t>
      </w:r>
      <w:r>
        <w:rPr>
          <w:rFonts w:hint="eastAsia" w:ascii="宋体" w:hAnsi="宋体" w:cs="宋体"/>
          <w:b/>
          <w:bCs/>
          <w:kern w:val="44"/>
          <w:sz w:val="36"/>
          <w:szCs w:val="24"/>
          <w:lang w:val="en-US" w:eastAsia="zh-CN"/>
        </w:rPr>
        <w:t>六</w:t>
      </w:r>
      <w:r>
        <w:rPr>
          <w:rFonts w:hint="eastAsia" w:ascii="宋体" w:hAnsi="宋体" w:cs="宋体"/>
          <w:b/>
          <w:bCs/>
          <w:kern w:val="44"/>
          <w:sz w:val="36"/>
          <w:szCs w:val="24"/>
        </w:rPr>
        <w:t>章 投标文件格式</w:t>
      </w:r>
      <w:bookmarkEnd w:id="286"/>
      <w:bookmarkEnd w:id="289"/>
      <w:bookmarkEnd w:id="290"/>
      <w:bookmarkEnd w:id="294"/>
      <w:bookmarkEnd w:id="295"/>
    </w:p>
    <w:p w14:paraId="12E3B7DC">
      <w:pPr>
        <w:autoSpaceDE w:val="0"/>
        <w:autoSpaceDN w:val="0"/>
        <w:adjustRightInd w:val="0"/>
        <w:spacing w:before="124"/>
        <w:jc w:val="center"/>
        <w:rPr>
          <w:rFonts w:hint="eastAsia" w:ascii="宋体" w:hAnsi="宋体" w:cs="宋体"/>
          <w:kern w:val="0"/>
          <w:sz w:val="44"/>
          <w:szCs w:val="44"/>
        </w:rPr>
      </w:pPr>
      <w:bookmarkStart w:id="296" w:name="_Toc465179936"/>
      <w:bookmarkStart w:id="297" w:name="_Toc162490435"/>
      <w:bookmarkStart w:id="298" w:name="_Toc272486045"/>
      <w:bookmarkStart w:id="299" w:name="_Toc493081622"/>
      <w:bookmarkStart w:id="300" w:name="_Toc434829636"/>
      <w:bookmarkStart w:id="301" w:name="_Toc153421225"/>
    </w:p>
    <w:p w14:paraId="24ABFFFB">
      <w:pPr>
        <w:autoSpaceDE w:val="0"/>
        <w:autoSpaceDN w:val="0"/>
        <w:adjustRightInd w:val="0"/>
        <w:spacing w:before="124"/>
        <w:jc w:val="center"/>
        <w:rPr>
          <w:rFonts w:hint="eastAsia" w:ascii="宋体" w:hAnsi="宋体" w:cs="宋体"/>
          <w:kern w:val="0"/>
          <w:sz w:val="44"/>
          <w:szCs w:val="44"/>
        </w:rPr>
      </w:pPr>
    </w:p>
    <w:p w14:paraId="485CF3FE">
      <w:pPr>
        <w:autoSpaceDE w:val="0"/>
        <w:autoSpaceDN w:val="0"/>
        <w:adjustRightInd w:val="0"/>
        <w:spacing w:before="124"/>
        <w:jc w:val="center"/>
        <w:rPr>
          <w:rFonts w:ascii="宋体" w:hAnsi="宋体" w:cs="宋体"/>
          <w:kern w:val="0"/>
          <w:sz w:val="44"/>
          <w:szCs w:val="44"/>
        </w:rPr>
      </w:pPr>
      <w:r>
        <w:rPr>
          <w:rFonts w:hint="eastAsia" w:ascii="宋体" w:hAnsi="宋体" w:cs="宋体"/>
          <w:kern w:val="0"/>
          <w:sz w:val="44"/>
          <w:szCs w:val="44"/>
        </w:rPr>
        <w:t>（项目名称）</w:t>
      </w:r>
    </w:p>
    <w:p w14:paraId="07DA9FC9">
      <w:pPr>
        <w:autoSpaceDE w:val="0"/>
        <w:autoSpaceDN w:val="0"/>
        <w:adjustRightInd w:val="0"/>
        <w:spacing w:line="200" w:lineRule="exact"/>
        <w:jc w:val="center"/>
        <w:rPr>
          <w:rFonts w:ascii="宋体" w:hAnsi="宋体" w:cs="宋体"/>
          <w:kern w:val="0"/>
          <w:sz w:val="44"/>
          <w:szCs w:val="44"/>
        </w:rPr>
      </w:pPr>
    </w:p>
    <w:p w14:paraId="6D1F4A86">
      <w:pPr>
        <w:autoSpaceDE w:val="0"/>
        <w:autoSpaceDN w:val="0"/>
        <w:adjustRightInd w:val="0"/>
        <w:spacing w:line="200" w:lineRule="exact"/>
        <w:jc w:val="center"/>
        <w:rPr>
          <w:rFonts w:ascii="宋体" w:hAnsi="宋体" w:cs="宋体"/>
          <w:kern w:val="0"/>
          <w:sz w:val="44"/>
          <w:szCs w:val="44"/>
        </w:rPr>
      </w:pPr>
    </w:p>
    <w:p w14:paraId="13D70C5A">
      <w:pPr>
        <w:autoSpaceDE w:val="0"/>
        <w:autoSpaceDN w:val="0"/>
        <w:adjustRightInd w:val="0"/>
        <w:spacing w:before="49"/>
        <w:jc w:val="center"/>
        <w:rPr>
          <w:rFonts w:ascii="宋体" w:hAnsi="宋体" w:cs="宋体"/>
          <w:kern w:val="0"/>
          <w:sz w:val="44"/>
          <w:szCs w:val="44"/>
        </w:rPr>
      </w:pPr>
    </w:p>
    <w:p w14:paraId="776FFBD8">
      <w:pPr>
        <w:autoSpaceDE w:val="0"/>
        <w:autoSpaceDN w:val="0"/>
        <w:adjustRightInd w:val="0"/>
        <w:spacing w:before="49"/>
        <w:jc w:val="center"/>
        <w:rPr>
          <w:rFonts w:ascii="宋体" w:hAnsi="宋体" w:cs="宋体"/>
          <w:kern w:val="0"/>
          <w:sz w:val="44"/>
          <w:szCs w:val="44"/>
        </w:rPr>
      </w:pPr>
    </w:p>
    <w:p w14:paraId="0C519861">
      <w:pPr>
        <w:autoSpaceDE w:val="0"/>
        <w:autoSpaceDN w:val="0"/>
        <w:adjustRightInd w:val="0"/>
        <w:spacing w:before="49"/>
        <w:jc w:val="center"/>
        <w:rPr>
          <w:rFonts w:ascii="宋体" w:hAnsi="宋体" w:cs="宋体"/>
          <w:kern w:val="0"/>
          <w:sz w:val="44"/>
          <w:szCs w:val="44"/>
        </w:rPr>
      </w:pPr>
      <w:r>
        <w:rPr>
          <w:rFonts w:hint="eastAsia" w:ascii="宋体" w:hAnsi="宋体" w:cs="宋体"/>
          <w:kern w:val="0"/>
          <w:sz w:val="44"/>
          <w:szCs w:val="44"/>
        </w:rPr>
        <w:t>投 标 文 件</w:t>
      </w:r>
    </w:p>
    <w:p w14:paraId="5E89B72B">
      <w:pPr>
        <w:autoSpaceDE w:val="0"/>
        <w:autoSpaceDN w:val="0"/>
        <w:adjustRightInd w:val="0"/>
        <w:spacing w:line="200" w:lineRule="exact"/>
        <w:jc w:val="center"/>
        <w:rPr>
          <w:rFonts w:ascii="宋体" w:hAnsi="宋体" w:cs="宋体"/>
          <w:b/>
          <w:bCs/>
          <w:kern w:val="0"/>
          <w:sz w:val="32"/>
          <w:szCs w:val="32"/>
        </w:rPr>
      </w:pPr>
    </w:p>
    <w:p w14:paraId="62CD6801">
      <w:pPr>
        <w:autoSpaceDE w:val="0"/>
        <w:autoSpaceDN w:val="0"/>
        <w:adjustRightInd w:val="0"/>
        <w:spacing w:line="200" w:lineRule="exact"/>
        <w:jc w:val="left"/>
        <w:rPr>
          <w:rFonts w:ascii="宋体" w:hAnsi="宋体" w:cs="宋体"/>
          <w:kern w:val="0"/>
          <w:sz w:val="24"/>
          <w:szCs w:val="24"/>
        </w:rPr>
      </w:pPr>
    </w:p>
    <w:p w14:paraId="21DC8E7D">
      <w:pPr>
        <w:autoSpaceDE w:val="0"/>
        <w:autoSpaceDN w:val="0"/>
        <w:adjustRightInd w:val="0"/>
        <w:spacing w:line="200" w:lineRule="exact"/>
        <w:jc w:val="left"/>
        <w:rPr>
          <w:rFonts w:ascii="宋体" w:hAnsi="宋体" w:cs="宋体"/>
          <w:kern w:val="0"/>
          <w:sz w:val="24"/>
          <w:szCs w:val="24"/>
        </w:rPr>
      </w:pPr>
    </w:p>
    <w:p w14:paraId="6B6B3589">
      <w:pPr>
        <w:autoSpaceDE w:val="0"/>
        <w:autoSpaceDN w:val="0"/>
        <w:adjustRightInd w:val="0"/>
        <w:spacing w:line="200" w:lineRule="exact"/>
        <w:jc w:val="left"/>
        <w:rPr>
          <w:rFonts w:ascii="宋体" w:hAnsi="宋体" w:cs="宋体"/>
          <w:kern w:val="0"/>
          <w:sz w:val="24"/>
          <w:szCs w:val="24"/>
        </w:rPr>
      </w:pPr>
    </w:p>
    <w:p w14:paraId="60C50E94">
      <w:pPr>
        <w:autoSpaceDE w:val="0"/>
        <w:autoSpaceDN w:val="0"/>
        <w:adjustRightInd w:val="0"/>
        <w:spacing w:line="200" w:lineRule="exact"/>
        <w:jc w:val="left"/>
        <w:rPr>
          <w:rFonts w:ascii="宋体" w:hAnsi="宋体" w:cs="宋体"/>
          <w:kern w:val="0"/>
          <w:sz w:val="24"/>
          <w:szCs w:val="24"/>
        </w:rPr>
      </w:pPr>
    </w:p>
    <w:p w14:paraId="3F6C67E2">
      <w:pPr>
        <w:autoSpaceDE w:val="0"/>
        <w:autoSpaceDN w:val="0"/>
        <w:adjustRightInd w:val="0"/>
        <w:spacing w:line="200" w:lineRule="exact"/>
        <w:jc w:val="left"/>
        <w:rPr>
          <w:rFonts w:ascii="宋体" w:hAnsi="宋体" w:cs="宋体"/>
          <w:kern w:val="0"/>
          <w:sz w:val="24"/>
          <w:szCs w:val="24"/>
        </w:rPr>
      </w:pPr>
    </w:p>
    <w:p w14:paraId="1CF097DA">
      <w:pPr>
        <w:autoSpaceDE w:val="0"/>
        <w:autoSpaceDN w:val="0"/>
        <w:adjustRightInd w:val="0"/>
        <w:spacing w:line="200" w:lineRule="exact"/>
        <w:jc w:val="left"/>
        <w:rPr>
          <w:rFonts w:ascii="宋体" w:hAnsi="宋体" w:cs="宋体"/>
          <w:kern w:val="0"/>
          <w:sz w:val="24"/>
          <w:szCs w:val="24"/>
        </w:rPr>
      </w:pPr>
    </w:p>
    <w:p w14:paraId="71BFD971">
      <w:pPr>
        <w:autoSpaceDE w:val="0"/>
        <w:autoSpaceDN w:val="0"/>
        <w:adjustRightInd w:val="0"/>
        <w:spacing w:line="200" w:lineRule="exact"/>
        <w:jc w:val="left"/>
        <w:rPr>
          <w:rFonts w:ascii="宋体" w:hAnsi="宋体" w:cs="宋体"/>
          <w:kern w:val="0"/>
          <w:sz w:val="24"/>
          <w:szCs w:val="24"/>
        </w:rPr>
      </w:pPr>
    </w:p>
    <w:p w14:paraId="7197EF5E">
      <w:pPr>
        <w:autoSpaceDE w:val="0"/>
        <w:autoSpaceDN w:val="0"/>
        <w:adjustRightInd w:val="0"/>
        <w:spacing w:line="200" w:lineRule="exact"/>
        <w:jc w:val="left"/>
        <w:rPr>
          <w:rFonts w:ascii="宋体" w:hAnsi="宋体" w:cs="宋体"/>
          <w:kern w:val="0"/>
          <w:sz w:val="24"/>
          <w:szCs w:val="24"/>
        </w:rPr>
      </w:pPr>
    </w:p>
    <w:p w14:paraId="12BCE056">
      <w:pPr>
        <w:autoSpaceDE w:val="0"/>
        <w:autoSpaceDN w:val="0"/>
        <w:adjustRightInd w:val="0"/>
        <w:spacing w:line="200" w:lineRule="exact"/>
        <w:jc w:val="left"/>
        <w:rPr>
          <w:rFonts w:ascii="宋体" w:hAnsi="宋体" w:cs="宋体"/>
          <w:kern w:val="0"/>
          <w:sz w:val="24"/>
          <w:szCs w:val="24"/>
        </w:rPr>
      </w:pPr>
    </w:p>
    <w:p w14:paraId="2813ABB9">
      <w:pPr>
        <w:autoSpaceDE w:val="0"/>
        <w:autoSpaceDN w:val="0"/>
        <w:adjustRightInd w:val="0"/>
        <w:spacing w:line="200" w:lineRule="exact"/>
        <w:jc w:val="left"/>
        <w:rPr>
          <w:rFonts w:ascii="宋体" w:hAnsi="宋体" w:cs="宋体"/>
          <w:kern w:val="0"/>
          <w:sz w:val="24"/>
          <w:szCs w:val="24"/>
        </w:rPr>
      </w:pPr>
    </w:p>
    <w:p w14:paraId="4333DA56">
      <w:pPr>
        <w:autoSpaceDE w:val="0"/>
        <w:autoSpaceDN w:val="0"/>
        <w:adjustRightInd w:val="0"/>
        <w:spacing w:line="200" w:lineRule="exact"/>
        <w:jc w:val="left"/>
        <w:rPr>
          <w:rFonts w:ascii="宋体" w:hAnsi="宋体" w:cs="宋体"/>
          <w:kern w:val="0"/>
          <w:sz w:val="24"/>
          <w:szCs w:val="24"/>
        </w:rPr>
      </w:pPr>
    </w:p>
    <w:p w14:paraId="2627344B">
      <w:pPr>
        <w:autoSpaceDE w:val="0"/>
        <w:autoSpaceDN w:val="0"/>
        <w:adjustRightInd w:val="0"/>
        <w:spacing w:line="200" w:lineRule="exact"/>
        <w:jc w:val="left"/>
        <w:rPr>
          <w:rFonts w:ascii="宋体" w:hAnsi="宋体" w:cs="宋体"/>
          <w:kern w:val="0"/>
          <w:sz w:val="24"/>
          <w:szCs w:val="24"/>
        </w:rPr>
      </w:pPr>
    </w:p>
    <w:p w14:paraId="67F47ECB">
      <w:pPr>
        <w:autoSpaceDE w:val="0"/>
        <w:autoSpaceDN w:val="0"/>
        <w:adjustRightInd w:val="0"/>
        <w:spacing w:line="200" w:lineRule="exact"/>
        <w:jc w:val="left"/>
        <w:rPr>
          <w:rFonts w:ascii="宋体" w:hAnsi="宋体" w:cs="宋体"/>
          <w:kern w:val="0"/>
          <w:sz w:val="24"/>
          <w:szCs w:val="24"/>
        </w:rPr>
      </w:pPr>
    </w:p>
    <w:p w14:paraId="43E59E6F">
      <w:pPr>
        <w:autoSpaceDE w:val="0"/>
        <w:autoSpaceDN w:val="0"/>
        <w:adjustRightInd w:val="0"/>
        <w:spacing w:line="200" w:lineRule="exact"/>
        <w:jc w:val="left"/>
        <w:rPr>
          <w:rFonts w:ascii="宋体" w:hAnsi="宋体" w:cs="宋体"/>
          <w:kern w:val="0"/>
          <w:sz w:val="32"/>
          <w:szCs w:val="32"/>
        </w:rPr>
      </w:pPr>
    </w:p>
    <w:p w14:paraId="1B7C8E45">
      <w:pPr>
        <w:autoSpaceDE w:val="0"/>
        <w:autoSpaceDN w:val="0"/>
        <w:adjustRightInd w:val="0"/>
        <w:spacing w:before="95"/>
        <w:jc w:val="center"/>
        <w:rPr>
          <w:rFonts w:ascii="宋体" w:hAnsi="宋体" w:cs="宋体"/>
          <w:kern w:val="0"/>
          <w:sz w:val="32"/>
          <w:szCs w:val="32"/>
        </w:rPr>
      </w:pPr>
      <w:r>
        <w:rPr>
          <w:rFonts w:hint="eastAsia" w:ascii="宋体" w:hAnsi="宋体" w:cs="宋体"/>
          <w:kern w:val="0"/>
          <w:sz w:val="32"/>
          <w:szCs w:val="32"/>
        </w:rPr>
        <w:t>投标人 ：</w:t>
      </w:r>
      <w:r>
        <w:rPr>
          <w:rFonts w:hint="eastAsia" w:ascii="宋体" w:hAnsi="宋体" w:cs="宋体"/>
          <w:kern w:val="0"/>
          <w:sz w:val="32"/>
          <w:szCs w:val="32"/>
          <w:u w:val="single"/>
        </w:rPr>
        <w:t xml:space="preserve">                      </w:t>
      </w:r>
      <w:r>
        <w:rPr>
          <w:rFonts w:hint="eastAsia" w:ascii="宋体" w:hAnsi="宋体" w:cs="宋体"/>
          <w:kern w:val="0"/>
          <w:sz w:val="32"/>
          <w:szCs w:val="32"/>
        </w:rPr>
        <w:t>（盖单位章）</w:t>
      </w:r>
    </w:p>
    <w:p w14:paraId="493FEDF4">
      <w:pPr>
        <w:autoSpaceDE w:val="0"/>
        <w:autoSpaceDN w:val="0"/>
        <w:adjustRightInd w:val="0"/>
        <w:spacing w:before="95"/>
        <w:rPr>
          <w:rFonts w:ascii="宋体" w:hAnsi="宋体" w:cs="宋体"/>
          <w:kern w:val="0"/>
          <w:sz w:val="32"/>
          <w:szCs w:val="32"/>
        </w:rPr>
      </w:pPr>
    </w:p>
    <w:p w14:paraId="17FE450E">
      <w:pPr>
        <w:autoSpaceDE w:val="0"/>
        <w:autoSpaceDN w:val="0"/>
        <w:adjustRightInd w:val="0"/>
        <w:spacing w:before="202"/>
        <w:jc w:val="center"/>
        <w:rPr>
          <w:rFonts w:ascii="宋体" w:hAnsi="宋体" w:cs="宋体"/>
          <w:kern w:val="0"/>
          <w:sz w:val="32"/>
          <w:szCs w:val="32"/>
        </w:rPr>
      </w:pPr>
      <w:r>
        <w:rPr>
          <w:rFonts w:hint="eastAsia" w:ascii="宋体" w:hAnsi="宋体" w:cs="宋体"/>
          <w:kern w:val="0"/>
          <w:sz w:val="32"/>
          <w:szCs w:val="32"/>
        </w:rPr>
        <w:t>法定代表人或其委托代理人：</w:t>
      </w:r>
      <w:r>
        <w:rPr>
          <w:rFonts w:hint="eastAsia" w:ascii="宋体" w:hAnsi="宋体" w:cs="宋体"/>
          <w:kern w:val="0"/>
          <w:sz w:val="32"/>
          <w:szCs w:val="32"/>
          <w:u w:val="single"/>
        </w:rPr>
        <w:t xml:space="preserve">       </w:t>
      </w:r>
      <w:r>
        <w:rPr>
          <w:rFonts w:hint="eastAsia" w:ascii="宋体" w:hAnsi="宋体" w:cs="宋体"/>
          <w:kern w:val="0"/>
          <w:sz w:val="32"/>
          <w:szCs w:val="32"/>
        </w:rPr>
        <w:t>（签字）</w:t>
      </w:r>
    </w:p>
    <w:p w14:paraId="1E25AA2F">
      <w:pPr>
        <w:autoSpaceDE w:val="0"/>
        <w:autoSpaceDN w:val="0"/>
        <w:adjustRightInd w:val="0"/>
        <w:spacing w:line="200" w:lineRule="exact"/>
        <w:jc w:val="left"/>
        <w:rPr>
          <w:rFonts w:ascii="宋体" w:hAnsi="宋体" w:cs="宋体"/>
          <w:kern w:val="0"/>
          <w:sz w:val="32"/>
          <w:szCs w:val="32"/>
        </w:rPr>
      </w:pPr>
    </w:p>
    <w:p w14:paraId="7322ADB7">
      <w:pPr>
        <w:autoSpaceDE w:val="0"/>
        <w:autoSpaceDN w:val="0"/>
        <w:adjustRightInd w:val="0"/>
        <w:spacing w:line="200" w:lineRule="exact"/>
        <w:jc w:val="left"/>
        <w:rPr>
          <w:rFonts w:ascii="宋体" w:hAnsi="宋体" w:cs="宋体"/>
          <w:kern w:val="0"/>
          <w:sz w:val="32"/>
          <w:szCs w:val="32"/>
        </w:rPr>
      </w:pPr>
    </w:p>
    <w:p w14:paraId="2387E653">
      <w:pPr>
        <w:autoSpaceDE w:val="0"/>
        <w:autoSpaceDN w:val="0"/>
        <w:adjustRightInd w:val="0"/>
        <w:spacing w:before="165"/>
        <w:ind w:left="2410"/>
        <w:rPr>
          <w:rFonts w:ascii="宋体" w:hAnsi="宋体" w:cs="宋体"/>
          <w:kern w:val="0"/>
          <w:sz w:val="32"/>
          <w:szCs w:val="32"/>
        </w:rPr>
      </w:pPr>
      <w:r>
        <w:rPr>
          <w:rFonts w:hint="eastAsia" w:ascii="宋体" w:hAnsi="宋体" w:cs="宋体"/>
          <w:kern w:val="0"/>
          <w:sz w:val="32"/>
          <w:szCs w:val="32"/>
          <w:u w:val="single"/>
        </w:rPr>
        <w:t xml:space="preserve">       </w:t>
      </w:r>
      <w:r>
        <w:rPr>
          <w:rFonts w:hint="eastAsia" w:ascii="宋体" w:hAnsi="宋体" w:cs="宋体"/>
          <w:kern w:val="0"/>
          <w:sz w:val="32"/>
          <w:szCs w:val="32"/>
        </w:rPr>
        <w:t>年</w:t>
      </w:r>
      <w:r>
        <w:rPr>
          <w:rFonts w:hint="eastAsia" w:ascii="宋体" w:hAnsi="宋体" w:cs="宋体"/>
          <w:kern w:val="0"/>
          <w:sz w:val="32"/>
          <w:szCs w:val="32"/>
          <w:u w:val="single"/>
        </w:rPr>
        <w:t xml:space="preserve">       </w:t>
      </w:r>
      <w:r>
        <w:rPr>
          <w:rFonts w:hint="eastAsia" w:ascii="宋体" w:hAnsi="宋体" w:cs="宋体"/>
          <w:kern w:val="0"/>
          <w:sz w:val="32"/>
          <w:szCs w:val="32"/>
        </w:rPr>
        <w:t>月</w:t>
      </w:r>
      <w:r>
        <w:rPr>
          <w:rFonts w:hint="eastAsia" w:ascii="宋体" w:hAnsi="宋体" w:cs="宋体"/>
          <w:kern w:val="0"/>
          <w:sz w:val="32"/>
          <w:szCs w:val="32"/>
          <w:u w:val="single"/>
        </w:rPr>
        <w:t xml:space="preserve">       </w:t>
      </w:r>
      <w:r>
        <w:rPr>
          <w:rFonts w:hint="eastAsia" w:ascii="宋体" w:hAnsi="宋体" w:cs="宋体"/>
          <w:kern w:val="0"/>
          <w:sz w:val="32"/>
          <w:szCs w:val="32"/>
        </w:rPr>
        <w:t>日</w:t>
      </w:r>
    </w:p>
    <w:p w14:paraId="25B3A9B3">
      <w:pPr>
        <w:adjustRightInd w:val="0"/>
        <w:snapToGrid w:val="0"/>
        <w:spacing w:line="360" w:lineRule="auto"/>
        <w:rPr>
          <w:rFonts w:ascii="宋体" w:hAnsi="宋体" w:cs="宋体"/>
          <w:b/>
          <w:sz w:val="28"/>
          <w:szCs w:val="28"/>
        </w:rPr>
      </w:pPr>
    </w:p>
    <w:p w14:paraId="627E6F7A">
      <w:pPr>
        <w:pStyle w:val="18"/>
        <w:ind w:firstLine="562"/>
        <w:rPr>
          <w:rFonts w:ascii="宋体" w:hAnsi="宋体" w:cs="宋体"/>
          <w:b/>
          <w:sz w:val="28"/>
          <w:szCs w:val="28"/>
        </w:rPr>
      </w:pPr>
    </w:p>
    <w:p w14:paraId="6719C770">
      <w:pPr>
        <w:pStyle w:val="14"/>
        <w:ind w:left="562" w:hanging="562"/>
        <w:rPr>
          <w:rFonts w:ascii="宋体" w:hAnsi="宋体" w:cs="宋体"/>
          <w:b/>
          <w:sz w:val="28"/>
          <w:szCs w:val="28"/>
        </w:rPr>
        <w:sectPr>
          <w:pgSz w:w="11906" w:h="16838"/>
          <w:pgMar w:top="1440" w:right="1800" w:bottom="1440" w:left="1800" w:header="851" w:footer="992" w:gutter="0"/>
          <w:pgNumType w:fmt="decimal"/>
          <w:cols w:space="425" w:num="1"/>
          <w:docGrid w:type="lines" w:linePitch="312" w:charSpace="0"/>
        </w:sectPr>
      </w:pPr>
    </w:p>
    <w:p w14:paraId="6C85A200">
      <w:pPr>
        <w:spacing w:line="360" w:lineRule="auto"/>
        <w:jc w:val="center"/>
        <w:rPr>
          <w:rFonts w:hint="eastAsia" w:ascii="宋体" w:hAnsi="宋体" w:cs="宋体"/>
          <w:b/>
          <w:bCs/>
          <w:kern w:val="0"/>
          <w:sz w:val="32"/>
          <w:szCs w:val="32"/>
          <w:lang w:val="zh-CN" w:eastAsia="zh-CN"/>
        </w:rPr>
      </w:pPr>
      <w:r>
        <w:rPr>
          <w:rFonts w:hint="eastAsia" w:ascii="宋体" w:hAnsi="宋体" w:cs="宋体"/>
          <w:b/>
          <w:bCs/>
          <w:kern w:val="0"/>
          <w:sz w:val="32"/>
          <w:szCs w:val="32"/>
          <w:lang w:val="zh-CN" w:eastAsia="zh-CN"/>
        </w:rPr>
        <w:t>一、开标一览表</w:t>
      </w:r>
    </w:p>
    <w:p w14:paraId="7FD02F2B">
      <w:pPr>
        <w:pStyle w:val="8"/>
        <w:spacing w:before="4" w:beforeLines="0" w:afterLines="0" w:line="360" w:lineRule="auto"/>
        <w:ind w:left="0"/>
        <w:jc w:val="center"/>
        <w:rPr>
          <w:rFonts w:hint="eastAsia"/>
          <w:b/>
          <w:sz w:val="21"/>
          <w:szCs w:val="21"/>
        </w:rPr>
      </w:pPr>
    </w:p>
    <w:tbl>
      <w:tblPr>
        <w:tblStyle w:val="19"/>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05"/>
        <w:gridCol w:w="6220"/>
      </w:tblGrid>
      <w:tr w14:paraId="24628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atLeast"/>
        </w:trPr>
        <w:tc>
          <w:tcPr>
            <w:tcW w:w="2305"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C4EE808">
            <w:pPr>
              <w:pStyle w:val="29"/>
              <w:spacing w:before="160" w:beforeLines="0" w:afterLines="0" w:line="360" w:lineRule="auto"/>
              <w:ind w:left="528" w:right="521"/>
              <w:jc w:val="center"/>
              <w:rPr>
                <w:rFonts w:hint="eastAsia"/>
                <w:b/>
                <w:sz w:val="21"/>
                <w:szCs w:val="21"/>
                <w:lang w:eastAsia="en-US"/>
              </w:rPr>
            </w:pPr>
            <w:r>
              <w:rPr>
                <w:rFonts w:hint="eastAsia"/>
                <w:b/>
                <w:sz w:val="21"/>
                <w:szCs w:val="21"/>
                <w:lang w:eastAsia="en-US"/>
              </w:rPr>
              <w:t>项目名称</w:t>
            </w:r>
          </w:p>
        </w:tc>
        <w:tc>
          <w:tcPr>
            <w:tcW w:w="622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7033FB9">
            <w:pPr>
              <w:pStyle w:val="29"/>
              <w:spacing w:before="160" w:beforeLines="0" w:afterLines="0" w:line="360" w:lineRule="auto"/>
              <w:ind w:left="2727" w:right="2720"/>
              <w:jc w:val="center"/>
              <w:rPr>
                <w:rFonts w:hint="eastAsia"/>
                <w:b/>
                <w:sz w:val="21"/>
                <w:szCs w:val="21"/>
                <w:lang w:eastAsia="en-US"/>
              </w:rPr>
            </w:pPr>
          </w:p>
        </w:tc>
      </w:tr>
      <w:tr w14:paraId="34E8C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305"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128B1C5">
            <w:pPr>
              <w:pStyle w:val="29"/>
              <w:spacing w:before="122" w:beforeLines="0" w:afterLines="0" w:line="360" w:lineRule="auto"/>
              <w:ind w:left="528" w:right="521"/>
              <w:jc w:val="center"/>
              <w:rPr>
                <w:rFonts w:hint="eastAsia"/>
                <w:b/>
                <w:sz w:val="21"/>
                <w:szCs w:val="21"/>
                <w:lang w:eastAsia="en-US"/>
              </w:rPr>
            </w:pPr>
            <w:r>
              <w:rPr>
                <w:rFonts w:hint="eastAsia"/>
                <w:b/>
                <w:sz w:val="21"/>
                <w:szCs w:val="21"/>
                <w:lang w:eastAsia="en-US"/>
              </w:rPr>
              <w:t>投标人全称</w:t>
            </w:r>
          </w:p>
        </w:tc>
        <w:tc>
          <w:tcPr>
            <w:tcW w:w="622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A3C0A68">
            <w:pPr>
              <w:pStyle w:val="29"/>
              <w:spacing w:beforeLines="0" w:afterLines="0" w:line="360" w:lineRule="auto"/>
              <w:jc w:val="center"/>
              <w:rPr>
                <w:rFonts w:hint="eastAsia"/>
                <w:sz w:val="21"/>
                <w:szCs w:val="21"/>
                <w:lang w:eastAsia="en-US"/>
              </w:rPr>
            </w:pPr>
          </w:p>
        </w:tc>
      </w:tr>
      <w:tr w14:paraId="77652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2305"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D0EE5EA">
            <w:pPr>
              <w:pStyle w:val="29"/>
              <w:spacing w:before="122" w:beforeLines="0" w:afterLines="0" w:line="360" w:lineRule="auto"/>
              <w:ind w:left="528" w:right="521"/>
              <w:jc w:val="center"/>
              <w:rPr>
                <w:rFonts w:hint="eastAsia"/>
                <w:b/>
                <w:sz w:val="21"/>
                <w:szCs w:val="21"/>
                <w:lang w:eastAsia="en-US"/>
              </w:rPr>
            </w:pPr>
            <w:r>
              <w:rPr>
                <w:rFonts w:hint="eastAsia"/>
                <w:b/>
                <w:sz w:val="21"/>
                <w:szCs w:val="21"/>
                <w:lang w:eastAsia="en-US"/>
              </w:rPr>
              <w:t>投标范围</w:t>
            </w:r>
          </w:p>
        </w:tc>
        <w:tc>
          <w:tcPr>
            <w:tcW w:w="622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59D9D54">
            <w:pPr>
              <w:pStyle w:val="29"/>
              <w:tabs>
                <w:tab w:val="left" w:pos="1307"/>
              </w:tabs>
              <w:spacing w:before="122" w:beforeLines="0" w:afterLines="0" w:line="360" w:lineRule="auto"/>
              <w:ind w:left="107" w:firstLine="210" w:firstLineChars="100"/>
              <w:jc w:val="both"/>
              <w:rPr>
                <w:rFonts w:hint="eastAsia"/>
                <w:sz w:val="21"/>
                <w:szCs w:val="21"/>
                <w:lang w:eastAsia="en-US"/>
              </w:rPr>
            </w:pPr>
            <w:r>
              <w:rPr>
                <w:rFonts w:hint="eastAsia"/>
                <w:sz w:val="21"/>
                <w:szCs w:val="21"/>
                <w:lang w:eastAsia="en-US"/>
              </w:rPr>
              <w:t>全部</w:t>
            </w:r>
          </w:p>
        </w:tc>
      </w:tr>
      <w:tr w14:paraId="00359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305"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57EC8D7">
            <w:pPr>
              <w:pStyle w:val="29"/>
              <w:spacing w:before="124" w:beforeLines="0" w:afterLines="0" w:line="360" w:lineRule="auto"/>
              <w:ind w:left="528" w:right="521"/>
              <w:jc w:val="center"/>
              <w:rPr>
                <w:rFonts w:hint="eastAsia"/>
                <w:b/>
                <w:sz w:val="21"/>
                <w:szCs w:val="21"/>
                <w:lang w:eastAsia="en-US"/>
              </w:rPr>
            </w:pPr>
            <w:r>
              <w:rPr>
                <w:rFonts w:hint="eastAsia"/>
                <w:b/>
                <w:sz w:val="21"/>
                <w:szCs w:val="21"/>
                <w:lang w:eastAsia="en-US"/>
              </w:rPr>
              <w:t>投标报价</w:t>
            </w:r>
          </w:p>
        </w:tc>
        <w:tc>
          <w:tcPr>
            <w:tcW w:w="622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1AF158F">
            <w:pPr>
              <w:pStyle w:val="29"/>
              <w:spacing w:beforeLines="0" w:afterLines="0" w:line="360" w:lineRule="auto"/>
              <w:jc w:val="center"/>
              <w:rPr>
                <w:rFonts w:hint="eastAsia"/>
                <w:sz w:val="22"/>
                <w:szCs w:val="22"/>
              </w:rPr>
            </w:pPr>
            <w:r>
              <w:rPr>
                <w:rFonts w:hint="eastAsia"/>
                <w:sz w:val="22"/>
                <w:szCs w:val="22"/>
              </w:rPr>
              <w:t>人民币或费率（大写）</w:t>
            </w:r>
            <w:r>
              <w:rPr>
                <w:rFonts w:hint="eastAsia"/>
                <w:sz w:val="22"/>
                <w:szCs w:val="22"/>
                <w:u w:val="single"/>
              </w:rPr>
              <w:t xml:space="preserve">         </w:t>
            </w:r>
            <w:r>
              <w:rPr>
                <w:rFonts w:hint="eastAsia"/>
                <w:sz w:val="22"/>
                <w:szCs w:val="22"/>
              </w:rPr>
              <w:t>（小写</w:t>
            </w:r>
            <w:r>
              <w:rPr>
                <w:rFonts w:hint="eastAsia"/>
                <w:sz w:val="22"/>
                <w:szCs w:val="22"/>
                <w:u w:val="single"/>
              </w:rPr>
              <w:t xml:space="preserve">           </w:t>
            </w:r>
            <w:r>
              <w:rPr>
                <w:rFonts w:hint="eastAsia"/>
                <w:sz w:val="22"/>
                <w:szCs w:val="22"/>
              </w:rPr>
              <w:t>）元或%</w:t>
            </w:r>
          </w:p>
          <w:p w14:paraId="6672FBA1">
            <w:pPr>
              <w:pStyle w:val="29"/>
              <w:spacing w:beforeLines="0" w:afterLines="0" w:line="360" w:lineRule="auto"/>
              <w:jc w:val="center"/>
              <w:rPr>
                <w:rFonts w:hint="eastAsia"/>
                <w:sz w:val="22"/>
                <w:szCs w:val="22"/>
              </w:rPr>
            </w:pPr>
          </w:p>
        </w:tc>
      </w:tr>
      <w:tr w14:paraId="2A57B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0" w:hRule="atLeast"/>
        </w:trPr>
        <w:tc>
          <w:tcPr>
            <w:tcW w:w="2305"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24736B4">
            <w:pPr>
              <w:pStyle w:val="29"/>
              <w:spacing w:beforeLines="0" w:afterLines="0" w:line="360" w:lineRule="auto"/>
              <w:jc w:val="center"/>
              <w:rPr>
                <w:rFonts w:hint="eastAsia"/>
                <w:b/>
                <w:sz w:val="21"/>
                <w:szCs w:val="21"/>
              </w:rPr>
            </w:pPr>
          </w:p>
          <w:p w14:paraId="2AEB5977">
            <w:pPr>
              <w:pStyle w:val="29"/>
              <w:spacing w:beforeLines="0" w:afterLines="0" w:line="360" w:lineRule="auto"/>
              <w:jc w:val="center"/>
              <w:rPr>
                <w:rFonts w:hint="eastAsia"/>
                <w:b/>
                <w:sz w:val="21"/>
                <w:szCs w:val="21"/>
              </w:rPr>
            </w:pPr>
          </w:p>
          <w:p w14:paraId="2EBE24F9">
            <w:pPr>
              <w:pStyle w:val="29"/>
              <w:spacing w:beforeLines="0" w:afterLines="0" w:line="360" w:lineRule="auto"/>
              <w:jc w:val="center"/>
              <w:rPr>
                <w:rFonts w:hint="eastAsia"/>
                <w:b/>
                <w:sz w:val="21"/>
                <w:szCs w:val="21"/>
              </w:rPr>
            </w:pPr>
          </w:p>
          <w:p w14:paraId="6757FCCE">
            <w:pPr>
              <w:pStyle w:val="29"/>
              <w:spacing w:beforeLines="0" w:afterLines="0" w:line="360" w:lineRule="auto"/>
              <w:jc w:val="center"/>
              <w:rPr>
                <w:rFonts w:hint="eastAsia"/>
                <w:b/>
                <w:sz w:val="21"/>
                <w:szCs w:val="21"/>
              </w:rPr>
            </w:pPr>
          </w:p>
          <w:p w14:paraId="0DB2E336">
            <w:pPr>
              <w:pStyle w:val="29"/>
              <w:spacing w:beforeLines="0" w:afterLines="0" w:line="360" w:lineRule="auto"/>
              <w:jc w:val="center"/>
              <w:rPr>
                <w:rFonts w:hint="eastAsia"/>
                <w:b/>
                <w:sz w:val="21"/>
                <w:szCs w:val="21"/>
              </w:rPr>
            </w:pPr>
          </w:p>
          <w:p w14:paraId="0B17CACB">
            <w:pPr>
              <w:pStyle w:val="29"/>
              <w:spacing w:beforeLines="0" w:afterLines="0" w:line="360" w:lineRule="auto"/>
              <w:jc w:val="center"/>
              <w:rPr>
                <w:rFonts w:hint="eastAsia"/>
                <w:b/>
                <w:sz w:val="21"/>
                <w:szCs w:val="21"/>
              </w:rPr>
            </w:pPr>
          </w:p>
          <w:p w14:paraId="7B0C3DBF">
            <w:pPr>
              <w:pStyle w:val="29"/>
              <w:spacing w:before="9" w:beforeLines="0" w:afterLines="0" w:line="360" w:lineRule="auto"/>
              <w:jc w:val="center"/>
              <w:rPr>
                <w:rFonts w:hint="eastAsia"/>
                <w:b/>
                <w:sz w:val="21"/>
                <w:szCs w:val="21"/>
              </w:rPr>
            </w:pPr>
          </w:p>
          <w:p w14:paraId="7A2314DA">
            <w:pPr>
              <w:pStyle w:val="29"/>
              <w:spacing w:beforeLines="0" w:afterLines="0" w:line="360" w:lineRule="auto"/>
              <w:ind w:left="528" w:right="520"/>
              <w:jc w:val="center"/>
              <w:rPr>
                <w:rFonts w:hint="eastAsia"/>
                <w:b/>
                <w:sz w:val="21"/>
                <w:szCs w:val="21"/>
                <w:lang w:eastAsia="en-US"/>
              </w:rPr>
            </w:pPr>
            <w:r>
              <w:rPr>
                <w:rFonts w:hint="eastAsia"/>
                <w:b/>
                <w:sz w:val="21"/>
                <w:szCs w:val="21"/>
                <w:lang w:eastAsia="en-US"/>
              </w:rPr>
              <w:t>其他</w:t>
            </w:r>
          </w:p>
        </w:tc>
        <w:tc>
          <w:tcPr>
            <w:tcW w:w="622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07409F0">
            <w:pPr>
              <w:pStyle w:val="29"/>
              <w:spacing w:beforeLines="0" w:afterLines="0" w:line="360" w:lineRule="auto"/>
              <w:jc w:val="center"/>
              <w:rPr>
                <w:rFonts w:hint="eastAsia"/>
                <w:sz w:val="21"/>
                <w:szCs w:val="21"/>
                <w:lang w:eastAsia="en-US"/>
              </w:rPr>
            </w:pPr>
          </w:p>
        </w:tc>
      </w:tr>
    </w:tbl>
    <w:p w14:paraId="2033FFE6">
      <w:pPr>
        <w:widowControl w:val="0"/>
        <w:autoSpaceDE w:val="0"/>
        <w:autoSpaceDN w:val="0"/>
        <w:spacing w:before="79" w:line="360" w:lineRule="auto"/>
        <w:ind w:left="220" w:leftChars="105" w:firstLine="3570" w:firstLineChars="1700"/>
        <w:jc w:val="left"/>
        <w:rPr>
          <w:rFonts w:ascii="宋体" w:hAnsi="宋体" w:eastAsia="宋体" w:cs="宋体"/>
          <w:kern w:val="0"/>
          <w:sz w:val="21"/>
          <w:szCs w:val="21"/>
          <w:u w:val="single"/>
          <w:lang w:val="zh-CN" w:eastAsia="zh-CN" w:bidi="zh-CN"/>
        </w:rPr>
      </w:pPr>
      <w:r>
        <w:rPr>
          <w:rFonts w:ascii="宋体" w:hAnsi="宋体" w:eastAsia="宋体" w:cs="宋体"/>
          <w:kern w:val="0"/>
          <w:sz w:val="21"/>
          <w:szCs w:val="21"/>
          <w:lang w:val="zh-CN" w:eastAsia="zh-CN" w:bidi="zh-CN"/>
        </w:rPr>
        <w:t>投标人</w:t>
      </w:r>
      <w:r>
        <w:rPr>
          <w:rFonts w:hint="eastAsia" w:ascii="宋体" w:hAnsi="宋体" w:eastAsia="宋体" w:cs="宋体"/>
          <w:kern w:val="0"/>
          <w:sz w:val="21"/>
          <w:szCs w:val="21"/>
          <w:lang w:val="en-US" w:eastAsia="zh-CN" w:bidi="zh-CN"/>
        </w:rPr>
        <w:t>公</w:t>
      </w:r>
      <w:r>
        <w:rPr>
          <w:rFonts w:ascii="宋体" w:hAnsi="宋体" w:eastAsia="宋体" w:cs="宋体"/>
          <w:kern w:val="0"/>
          <w:sz w:val="21"/>
          <w:szCs w:val="21"/>
          <w:lang w:val="zh-CN" w:eastAsia="zh-CN" w:bidi="zh-CN"/>
        </w:rPr>
        <w:t>章：</w:t>
      </w:r>
    </w:p>
    <w:p w14:paraId="491AC47C">
      <w:pPr>
        <w:pStyle w:val="14"/>
        <w:wordWrap w:val="0"/>
        <w:ind w:left="562" w:hanging="562"/>
        <w:jc w:val="right"/>
        <w:rPr>
          <w:rFonts w:hint="eastAsia" w:ascii="宋体" w:hAnsi="宋体" w:eastAsia="宋体" w:cs="宋体"/>
          <w:kern w:val="0"/>
          <w:sz w:val="21"/>
          <w:szCs w:val="21"/>
          <w:u w:val="single"/>
          <w:lang w:val="en-US" w:eastAsia="zh-CN" w:bidi="zh-CN"/>
        </w:rPr>
        <w:sectPr>
          <w:pgSz w:w="11906" w:h="16838"/>
          <w:pgMar w:top="1440" w:right="1800" w:bottom="1440" w:left="1800" w:header="851" w:footer="992" w:gutter="0"/>
          <w:pgNumType w:fmt="decimal"/>
          <w:cols w:space="425" w:num="1"/>
          <w:docGrid w:type="lines" w:linePitch="312" w:charSpace="0"/>
        </w:sectPr>
      </w:pPr>
      <w:r>
        <w:rPr>
          <w:rFonts w:hint="eastAsia" w:ascii="宋体" w:hAnsi="宋体" w:eastAsia="宋体" w:cs="宋体"/>
          <w:kern w:val="0"/>
          <w:sz w:val="21"/>
          <w:szCs w:val="21"/>
          <w:lang w:val="en-US" w:eastAsia="zh-CN" w:bidi="zh-CN"/>
        </w:rPr>
        <w:t>法定代表人或其委托代理人：</w:t>
      </w:r>
      <w:r>
        <w:rPr>
          <w:rFonts w:hint="eastAsia" w:ascii="宋体" w:hAnsi="宋体" w:eastAsia="宋体" w:cs="宋体"/>
          <w:kern w:val="0"/>
          <w:sz w:val="21"/>
          <w:szCs w:val="21"/>
          <w:u w:val="single"/>
          <w:lang w:val="en-US" w:eastAsia="zh-CN" w:bidi="zh-CN"/>
        </w:rPr>
        <w:t xml:space="preserve">（签字或盖章）   </w:t>
      </w:r>
    </w:p>
    <w:p w14:paraId="25516061">
      <w:pPr>
        <w:spacing w:before="92"/>
        <w:ind w:left="3053"/>
        <w:jc w:val="left"/>
        <w:outlineLvl w:val="1"/>
        <w:rPr>
          <w:rFonts w:ascii="Times New Roman" w:hAnsi="Times New Roman" w:eastAsia="宋体" w:cs="Times New Roman"/>
          <w:color w:val="auto"/>
          <w:sz w:val="24"/>
          <w:szCs w:val="24"/>
          <w:highlight w:val="none"/>
        </w:rPr>
      </w:pPr>
      <w:r>
        <w:rPr>
          <w:rFonts w:hint="eastAsia" w:ascii="宋体" w:hAnsi="宋体" w:eastAsia="宋体" w:cs="宋体"/>
          <w:b/>
          <w:bCs/>
          <w:kern w:val="0"/>
          <w:sz w:val="32"/>
          <w:szCs w:val="32"/>
          <w:lang w:val="zh-CN" w:eastAsia="zh-CN"/>
        </w:rPr>
        <w:t>分项报价表</w:t>
      </w:r>
      <w:r>
        <w:rPr>
          <w:rFonts w:ascii="Times New Roman" w:hAnsi="Times New Roman" w:eastAsia="Times New Roman" w:cs="Times New Roman"/>
          <w:b/>
          <w:bCs/>
          <w:color w:val="auto"/>
          <w:sz w:val="31"/>
          <w:szCs w:val="31"/>
          <w:highlight w:val="none"/>
        </w:rPr>
        <w:t xml:space="preserve"> </w:t>
      </w:r>
    </w:p>
    <w:p w14:paraId="7609F622">
      <w:pPr>
        <w:spacing w:line="200" w:lineRule="exact"/>
        <w:jc w:val="left"/>
        <w:rPr>
          <w:rFonts w:ascii="Times New Roman" w:hAnsi="Times New Roman" w:eastAsia="宋体" w:cs="Times New Roman"/>
          <w:color w:val="auto"/>
          <w:sz w:val="24"/>
          <w:szCs w:val="24"/>
          <w:highlight w:val="none"/>
        </w:rPr>
      </w:pPr>
    </w:p>
    <w:p w14:paraId="193F6BC8">
      <w:pPr>
        <w:spacing w:line="200" w:lineRule="exact"/>
        <w:jc w:val="left"/>
        <w:rPr>
          <w:rFonts w:ascii="Times New Roman" w:hAnsi="Times New Roman" w:eastAsia="宋体" w:cs="Times New Roman"/>
          <w:color w:val="auto"/>
          <w:sz w:val="24"/>
          <w:szCs w:val="24"/>
          <w:highlight w:val="none"/>
        </w:rPr>
      </w:pPr>
    </w:p>
    <w:p w14:paraId="69463163">
      <w:pPr>
        <w:spacing w:line="200" w:lineRule="exact"/>
        <w:jc w:val="left"/>
        <w:rPr>
          <w:rFonts w:ascii="Times New Roman" w:hAnsi="Times New Roman" w:eastAsia="宋体" w:cs="Times New Roman"/>
          <w:color w:val="auto"/>
          <w:sz w:val="24"/>
          <w:szCs w:val="24"/>
          <w:highlight w:val="none"/>
        </w:rPr>
      </w:pPr>
    </w:p>
    <w:p w14:paraId="636952AC">
      <w:pPr>
        <w:spacing w:before="156"/>
        <w:ind w:left="278"/>
        <w:jc w:val="left"/>
        <w:rPr>
          <w:rFonts w:ascii="Times New Roman" w:hAnsi="Times New Roman" w:eastAsia="宋体" w:cs="Times New Roman"/>
          <w:color w:val="auto"/>
          <w:sz w:val="24"/>
          <w:szCs w:val="24"/>
          <w:highlight w:val="none"/>
        </w:rPr>
      </w:pPr>
      <w:r>
        <w:rPr>
          <w:rFonts w:ascii="Times New Roman" w:hAnsi="Times New Roman" w:eastAsia="Times New Roman" w:cs="Times New Roman"/>
          <w:color w:val="auto"/>
          <w:sz w:val="24"/>
          <w:szCs w:val="24"/>
          <w:highlight w:val="none"/>
        </w:rPr>
        <w:t xml:space="preserve">1. </w:t>
      </w:r>
      <w:r>
        <w:rPr>
          <w:rFonts w:hint="eastAsia" w:ascii="宋体" w:hAnsi="宋体" w:eastAsia="宋体" w:cs="宋体"/>
          <w:color w:val="auto"/>
          <w:sz w:val="24"/>
          <w:szCs w:val="24"/>
          <w:highlight w:val="none"/>
        </w:rPr>
        <w:t>分项报价表</w:t>
      </w:r>
      <w:r>
        <w:rPr>
          <w:rFonts w:ascii="Times New Roman" w:hAnsi="Times New Roman" w:eastAsia="Times New Roman" w:cs="Times New Roman"/>
          <w:color w:val="auto"/>
          <w:sz w:val="24"/>
          <w:szCs w:val="24"/>
          <w:highlight w:val="none"/>
        </w:rPr>
        <w:t xml:space="preserve"> </w:t>
      </w:r>
    </w:p>
    <w:p w14:paraId="388836FF">
      <w:pPr>
        <w:spacing w:before="181"/>
        <w:jc w:val="right"/>
        <w:rPr>
          <w:rFonts w:ascii="Times New Roman" w:hAnsi="Times New Roman" w:eastAsia="宋体" w:cs="Times New Roman"/>
          <w:color w:val="auto"/>
          <w:sz w:val="24"/>
          <w:szCs w:val="24"/>
          <w:highlight w:val="none"/>
        </w:rPr>
      </w:pPr>
      <w:r>
        <w:rPr>
          <w:rFonts w:hint="eastAsia" w:ascii="宋体" w:hAnsi="宋体" w:eastAsia="宋体" w:cs="宋体"/>
          <w:color w:val="auto"/>
          <w:sz w:val="24"/>
          <w:szCs w:val="24"/>
          <w:highlight w:val="none"/>
        </w:rPr>
        <w:t xml:space="preserve">单位：人民币 </w:t>
      </w:r>
      <w:r>
        <w:rPr>
          <w:rFonts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t>元</w:t>
      </w:r>
      <w:r>
        <w:rPr>
          <w:rFonts w:ascii="Times New Roman" w:hAnsi="Times New Roman" w:eastAsia="Times New Roman" w:cs="Times New Roman"/>
          <w:color w:val="auto"/>
          <w:sz w:val="24"/>
          <w:szCs w:val="24"/>
          <w:highlight w:val="none"/>
        </w:rPr>
        <w:t xml:space="preserve"> </w:t>
      </w:r>
    </w:p>
    <w:p w14:paraId="1F87FF08">
      <w:pPr>
        <w:tabs>
          <w:tab w:val="left" w:pos="923"/>
          <w:tab w:val="left" w:pos="2412"/>
          <w:tab w:val="left" w:pos="3475"/>
          <w:tab w:val="left" w:pos="4433"/>
          <w:tab w:val="left" w:pos="5996"/>
          <w:tab w:val="left" w:pos="7799"/>
        </w:tabs>
        <w:spacing w:before="117"/>
        <w:jc w:val="left"/>
        <w:rPr>
          <w:rFonts w:ascii="Times New Roman" w:hAnsi="Times New Roman" w:eastAsia="宋体" w:cs="Times New Roman"/>
          <w:color w:val="auto"/>
          <w:sz w:val="24"/>
          <w:szCs w:val="24"/>
          <w:highlight w:val="none"/>
        </w:rPr>
      </w:pPr>
    </w:p>
    <w:tbl>
      <w:tblPr>
        <w:tblStyle w:val="19"/>
        <w:tblW w:w="91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7"/>
        <w:gridCol w:w="1571"/>
        <w:gridCol w:w="946"/>
        <w:gridCol w:w="946"/>
        <w:gridCol w:w="1888"/>
        <w:gridCol w:w="1884"/>
        <w:gridCol w:w="944"/>
      </w:tblGrid>
      <w:tr w14:paraId="59F75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947" w:type="dxa"/>
            <w:noWrap w:val="0"/>
            <w:vAlign w:val="center"/>
          </w:tcPr>
          <w:p w14:paraId="20FACD6B">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r>
              <w:rPr>
                <w:rFonts w:hint="eastAsia" w:ascii="宋体" w:hAnsi="宋体" w:eastAsia="宋体" w:cs="宋体"/>
                <w:b/>
                <w:bCs/>
                <w:color w:val="auto"/>
                <w:szCs w:val="21"/>
                <w:highlight w:val="none"/>
              </w:rPr>
              <w:t>序号</w:t>
            </w:r>
          </w:p>
        </w:tc>
        <w:tc>
          <w:tcPr>
            <w:tcW w:w="1571" w:type="dxa"/>
            <w:noWrap w:val="0"/>
            <w:vAlign w:val="center"/>
          </w:tcPr>
          <w:p w14:paraId="39AF183C">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r>
              <w:rPr>
                <w:rFonts w:hint="eastAsia" w:ascii="宋体" w:hAnsi="宋体" w:eastAsia="宋体" w:cs="宋体"/>
                <w:b/>
                <w:bCs/>
                <w:color w:val="auto"/>
                <w:szCs w:val="21"/>
                <w:highlight w:val="none"/>
              </w:rPr>
              <w:t>分项名称</w:t>
            </w:r>
          </w:p>
        </w:tc>
        <w:tc>
          <w:tcPr>
            <w:tcW w:w="946" w:type="dxa"/>
            <w:noWrap w:val="0"/>
            <w:vAlign w:val="center"/>
          </w:tcPr>
          <w:p w14:paraId="2AEBDC46">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r>
              <w:rPr>
                <w:rFonts w:hint="eastAsia" w:ascii="宋体" w:hAnsi="宋体" w:eastAsia="宋体" w:cs="宋体"/>
                <w:b/>
                <w:bCs/>
                <w:color w:val="auto"/>
                <w:szCs w:val="21"/>
                <w:highlight w:val="none"/>
              </w:rPr>
              <w:t>单位</w:t>
            </w:r>
          </w:p>
        </w:tc>
        <w:tc>
          <w:tcPr>
            <w:tcW w:w="946" w:type="dxa"/>
            <w:noWrap w:val="0"/>
            <w:vAlign w:val="center"/>
          </w:tcPr>
          <w:p w14:paraId="7FB1F811">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r>
              <w:rPr>
                <w:rFonts w:hint="eastAsia" w:ascii="宋体" w:hAnsi="宋体" w:eastAsia="宋体" w:cs="宋体"/>
                <w:b/>
                <w:bCs/>
                <w:color w:val="auto"/>
                <w:szCs w:val="21"/>
                <w:highlight w:val="none"/>
              </w:rPr>
              <w:t>数量</w:t>
            </w:r>
          </w:p>
        </w:tc>
        <w:tc>
          <w:tcPr>
            <w:tcW w:w="1887" w:type="dxa"/>
            <w:noWrap w:val="0"/>
            <w:vAlign w:val="center"/>
          </w:tcPr>
          <w:p w14:paraId="70AE52EA">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r>
              <w:rPr>
                <w:rFonts w:hint="eastAsia" w:ascii="宋体" w:hAnsi="宋体" w:eastAsia="宋体" w:cs="宋体"/>
                <w:b/>
                <w:bCs/>
                <w:color w:val="auto"/>
                <w:szCs w:val="21"/>
                <w:highlight w:val="none"/>
              </w:rPr>
              <w:t>单价（元）</w:t>
            </w:r>
          </w:p>
        </w:tc>
        <w:tc>
          <w:tcPr>
            <w:tcW w:w="1884" w:type="dxa"/>
            <w:noWrap w:val="0"/>
            <w:vAlign w:val="center"/>
          </w:tcPr>
          <w:p w14:paraId="2A0212AD">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r>
              <w:rPr>
                <w:rFonts w:hint="eastAsia" w:ascii="宋体" w:hAnsi="宋体" w:eastAsia="宋体" w:cs="宋体"/>
                <w:b/>
                <w:bCs/>
                <w:color w:val="auto"/>
                <w:szCs w:val="21"/>
                <w:highlight w:val="none"/>
              </w:rPr>
              <w:t>总价（元）</w:t>
            </w:r>
          </w:p>
        </w:tc>
        <w:tc>
          <w:tcPr>
            <w:tcW w:w="944" w:type="dxa"/>
            <w:noWrap w:val="0"/>
            <w:vAlign w:val="center"/>
          </w:tcPr>
          <w:p w14:paraId="7C4FEAB1">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r>
              <w:rPr>
                <w:rFonts w:hint="eastAsia" w:ascii="宋体" w:hAnsi="宋体" w:eastAsia="宋体" w:cs="宋体"/>
                <w:b/>
                <w:bCs/>
                <w:color w:val="auto"/>
                <w:szCs w:val="21"/>
                <w:highlight w:val="none"/>
              </w:rPr>
              <w:t>备注</w:t>
            </w:r>
          </w:p>
        </w:tc>
      </w:tr>
      <w:tr w14:paraId="3960B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947" w:type="dxa"/>
            <w:noWrap w:val="0"/>
            <w:vAlign w:val="center"/>
          </w:tcPr>
          <w:p w14:paraId="089E9DBB">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p>
        </w:tc>
        <w:tc>
          <w:tcPr>
            <w:tcW w:w="1571" w:type="dxa"/>
            <w:noWrap w:val="0"/>
            <w:vAlign w:val="center"/>
          </w:tcPr>
          <w:p w14:paraId="4B191E21">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946" w:type="dxa"/>
            <w:noWrap w:val="0"/>
            <w:vAlign w:val="center"/>
          </w:tcPr>
          <w:p w14:paraId="6118688B">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946" w:type="dxa"/>
            <w:noWrap w:val="0"/>
            <w:vAlign w:val="center"/>
          </w:tcPr>
          <w:p w14:paraId="3EBB0467">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1887" w:type="dxa"/>
            <w:noWrap w:val="0"/>
            <w:vAlign w:val="center"/>
          </w:tcPr>
          <w:p w14:paraId="218F7A31">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1884" w:type="dxa"/>
            <w:noWrap w:val="0"/>
            <w:vAlign w:val="center"/>
          </w:tcPr>
          <w:p w14:paraId="0CA41B80">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944" w:type="dxa"/>
            <w:noWrap w:val="0"/>
            <w:vAlign w:val="center"/>
          </w:tcPr>
          <w:p w14:paraId="0AF8532B">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r>
      <w:tr w14:paraId="2AAFD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947" w:type="dxa"/>
            <w:noWrap w:val="0"/>
            <w:vAlign w:val="center"/>
          </w:tcPr>
          <w:p w14:paraId="63C07455">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p>
        </w:tc>
        <w:tc>
          <w:tcPr>
            <w:tcW w:w="1571" w:type="dxa"/>
            <w:noWrap w:val="0"/>
            <w:vAlign w:val="center"/>
          </w:tcPr>
          <w:p w14:paraId="7D557468">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946" w:type="dxa"/>
            <w:noWrap w:val="0"/>
            <w:vAlign w:val="center"/>
          </w:tcPr>
          <w:p w14:paraId="5D25ED96">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946" w:type="dxa"/>
            <w:noWrap w:val="0"/>
            <w:vAlign w:val="center"/>
          </w:tcPr>
          <w:p w14:paraId="17BDDEE1">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1887" w:type="dxa"/>
            <w:noWrap w:val="0"/>
            <w:vAlign w:val="center"/>
          </w:tcPr>
          <w:p w14:paraId="5BFC39B8">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1884" w:type="dxa"/>
            <w:noWrap w:val="0"/>
            <w:vAlign w:val="center"/>
          </w:tcPr>
          <w:p w14:paraId="25575A5E">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944" w:type="dxa"/>
            <w:noWrap w:val="0"/>
            <w:vAlign w:val="center"/>
          </w:tcPr>
          <w:p w14:paraId="5187FF5D">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r>
      <w:tr w14:paraId="68264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947" w:type="dxa"/>
            <w:noWrap w:val="0"/>
            <w:vAlign w:val="center"/>
          </w:tcPr>
          <w:p w14:paraId="41E29E14">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p>
        </w:tc>
        <w:tc>
          <w:tcPr>
            <w:tcW w:w="1571" w:type="dxa"/>
            <w:noWrap w:val="0"/>
            <w:vAlign w:val="center"/>
          </w:tcPr>
          <w:p w14:paraId="24EAD85E">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946" w:type="dxa"/>
            <w:noWrap w:val="0"/>
            <w:vAlign w:val="center"/>
          </w:tcPr>
          <w:p w14:paraId="4671B6AF">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946" w:type="dxa"/>
            <w:noWrap w:val="0"/>
            <w:vAlign w:val="center"/>
          </w:tcPr>
          <w:p w14:paraId="129D8B11">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1887" w:type="dxa"/>
            <w:noWrap w:val="0"/>
            <w:vAlign w:val="center"/>
          </w:tcPr>
          <w:p w14:paraId="1118C3CA">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1884" w:type="dxa"/>
            <w:noWrap w:val="0"/>
            <w:vAlign w:val="center"/>
          </w:tcPr>
          <w:p w14:paraId="29FA87BA">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944" w:type="dxa"/>
            <w:noWrap w:val="0"/>
            <w:vAlign w:val="center"/>
          </w:tcPr>
          <w:p w14:paraId="1E1B8736">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r>
      <w:tr w14:paraId="409B3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947" w:type="dxa"/>
            <w:noWrap w:val="0"/>
            <w:vAlign w:val="center"/>
          </w:tcPr>
          <w:p w14:paraId="4D07E33C">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w:t>
            </w:r>
          </w:p>
        </w:tc>
        <w:tc>
          <w:tcPr>
            <w:tcW w:w="1571" w:type="dxa"/>
            <w:noWrap w:val="0"/>
            <w:vAlign w:val="center"/>
          </w:tcPr>
          <w:p w14:paraId="4DD8094C">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946" w:type="dxa"/>
            <w:noWrap w:val="0"/>
            <w:vAlign w:val="center"/>
          </w:tcPr>
          <w:p w14:paraId="6AB540DD">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946" w:type="dxa"/>
            <w:noWrap w:val="0"/>
            <w:vAlign w:val="center"/>
          </w:tcPr>
          <w:p w14:paraId="21CBA738">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1887" w:type="dxa"/>
            <w:noWrap w:val="0"/>
            <w:vAlign w:val="center"/>
          </w:tcPr>
          <w:p w14:paraId="71A1F241">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1884" w:type="dxa"/>
            <w:noWrap w:val="0"/>
            <w:vAlign w:val="center"/>
          </w:tcPr>
          <w:p w14:paraId="59F08EE5">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944" w:type="dxa"/>
            <w:noWrap w:val="0"/>
            <w:vAlign w:val="center"/>
          </w:tcPr>
          <w:p w14:paraId="218E6CB8">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r>
      <w:tr w14:paraId="54525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947" w:type="dxa"/>
            <w:noWrap w:val="0"/>
            <w:vAlign w:val="center"/>
          </w:tcPr>
          <w:p w14:paraId="60EF6978">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w:t>
            </w:r>
          </w:p>
        </w:tc>
        <w:tc>
          <w:tcPr>
            <w:tcW w:w="1571" w:type="dxa"/>
            <w:noWrap w:val="0"/>
            <w:vAlign w:val="center"/>
          </w:tcPr>
          <w:p w14:paraId="0FC7C5B2">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946" w:type="dxa"/>
            <w:noWrap w:val="0"/>
            <w:vAlign w:val="center"/>
          </w:tcPr>
          <w:p w14:paraId="6CA477E0">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946" w:type="dxa"/>
            <w:noWrap w:val="0"/>
            <w:vAlign w:val="center"/>
          </w:tcPr>
          <w:p w14:paraId="1340043F">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1887" w:type="dxa"/>
            <w:noWrap w:val="0"/>
            <w:vAlign w:val="center"/>
          </w:tcPr>
          <w:p w14:paraId="72135378">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1884" w:type="dxa"/>
            <w:noWrap w:val="0"/>
            <w:vAlign w:val="center"/>
          </w:tcPr>
          <w:p w14:paraId="2A5E4327">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944" w:type="dxa"/>
            <w:noWrap w:val="0"/>
            <w:vAlign w:val="center"/>
          </w:tcPr>
          <w:p w14:paraId="35659DC5">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r>
      <w:tr w14:paraId="68270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947" w:type="dxa"/>
            <w:noWrap w:val="0"/>
            <w:vAlign w:val="center"/>
          </w:tcPr>
          <w:p w14:paraId="7D77F357">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1571" w:type="dxa"/>
            <w:noWrap w:val="0"/>
            <w:vAlign w:val="center"/>
          </w:tcPr>
          <w:p w14:paraId="721EFB29">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946" w:type="dxa"/>
            <w:noWrap w:val="0"/>
            <w:vAlign w:val="center"/>
          </w:tcPr>
          <w:p w14:paraId="284889E0">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946" w:type="dxa"/>
            <w:noWrap w:val="0"/>
            <w:vAlign w:val="center"/>
          </w:tcPr>
          <w:p w14:paraId="1C6457BC">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1887" w:type="dxa"/>
            <w:noWrap w:val="0"/>
            <w:vAlign w:val="center"/>
          </w:tcPr>
          <w:p w14:paraId="37501896">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1884" w:type="dxa"/>
            <w:noWrap w:val="0"/>
            <w:vAlign w:val="center"/>
          </w:tcPr>
          <w:p w14:paraId="5BE22491">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944" w:type="dxa"/>
            <w:noWrap w:val="0"/>
            <w:vAlign w:val="center"/>
          </w:tcPr>
          <w:p w14:paraId="1CBFEBDC">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r>
      <w:tr w14:paraId="6B8B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6298" w:type="dxa"/>
            <w:gridSpan w:val="5"/>
            <w:noWrap w:val="0"/>
            <w:vAlign w:val="center"/>
          </w:tcPr>
          <w:p w14:paraId="330D3D99">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r>
              <w:rPr>
                <w:rFonts w:hint="eastAsia" w:ascii="宋体" w:hAnsi="宋体" w:eastAsia="宋体" w:cs="宋体"/>
                <w:b/>
                <w:bCs/>
                <w:color w:val="auto"/>
                <w:szCs w:val="21"/>
                <w:highlight w:val="none"/>
              </w:rPr>
              <w:t>合计报价</w:t>
            </w:r>
          </w:p>
        </w:tc>
        <w:tc>
          <w:tcPr>
            <w:tcW w:w="1884" w:type="dxa"/>
            <w:noWrap w:val="0"/>
            <w:vAlign w:val="center"/>
          </w:tcPr>
          <w:p w14:paraId="3584AE43">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c>
          <w:tcPr>
            <w:tcW w:w="944" w:type="dxa"/>
            <w:noWrap w:val="0"/>
            <w:vAlign w:val="center"/>
          </w:tcPr>
          <w:p w14:paraId="3D8BBDD4">
            <w:pPr>
              <w:keepNext w:val="0"/>
              <w:keepLines w:val="0"/>
              <w:suppressLineNumbers w:val="0"/>
              <w:tabs>
                <w:tab w:val="left" w:pos="923"/>
                <w:tab w:val="left" w:pos="2412"/>
                <w:tab w:val="left" w:pos="3475"/>
                <w:tab w:val="left" w:pos="4433"/>
                <w:tab w:val="left" w:pos="5996"/>
                <w:tab w:val="left" w:pos="7799"/>
              </w:tabs>
              <w:spacing w:before="117" w:beforeAutospacing="0" w:after="0" w:afterAutospacing="0"/>
              <w:ind w:left="0" w:right="0"/>
              <w:jc w:val="center"/>
              <w:rPr>
                <w:rFonts w:hint="default" w:ascii="Times New Roman" w:hAnsi="Times New Roman" w:eastAsia="宋体" w:cs="Times New Roman"/>
                <w:color w:val="auto"/>
                <w:sz w:val="24"/>
                <w:szCs w:val="24"/>
                <w:highlight w:val="none"/>
              </w:rPr>
            </w:pPr>
          </w:p>
        </w:tc>
      </w:tr>
    </w:tbl>
    <w:p w14:paraId="2A620918">
      <w:pPr>
        <w:pStyle w:val="14"/>
        <w:wordWrap w:val="0"/>
        <w:ind w:left="562" w:hanging="562"/>
        <w:jc w:val="both"/>
        <w:rPr>
          <w:rFonts w:hint="default" w:ascii="宋体" w:hAnsi="宋体" w:eastAsia="宋体" w:cs="宋体"/>
          <w:kern w:val="0"/>
          <w:sz w:val="21"/>
          <w:szCs w:val="21"/>
          <w:u w:val="single"/>
          <w:lang w:val="en-US" w:eastAsia="zh-CN" w:bidi="zh-CN"/>
        </w:rPr>
        <w:sectPr>
          <w:pgSz w:w="11906" w:h="16838"/>
          <w:pgMar w:top="1440" w:right="1800" w:bottom="1440" w:left="1800" w:header="851" w:footer="992" w:gutter="0"/>
          <w:pgNumType w:fmt="decimal"/>
          <w:cols w:space="425" w:num="1"/>
          <w:docGrid w:type="lines" w:linePitch="312" w:charSpace="0"/>
        </w:sectPr>
      </w:pPr>
    </w:p>
    <w:bookmarkEnd w:id="296"/>
    <w:bookmarkEnd w:id="297"/>
    <w:bookmarkEnd w:id="298"/>
    <w:bookmarkEnd w:id="299"/>
    <w:bookmarkEnd w:id="300"/>
    <w:bookmarkEnd w:id="301"/>
    <w:p w14:paraId="715498C5">
      <w:pPr>
        <w:spacing w:line="360" w:lineRule="auto"/>
        <w:jc w:val="center"/>
        <w:rPr>
          <w:rFonts w:ascii="宋体" w:hAnsi="宋体" w:cs="宋体"/>
          <w:b/>
          <w:bCs/>
          <w:kern w:val="0"/>
          <w:sz w:val="32"/>
          <w:szCs w:val="32"/>
        </w:rPr>
      </w:pPr>
      <w:bookmarkStart w:id="302" w:name="_Toc323739436"/>
      <w:bookmarkStart w:id="303" w:name="_Toc197934561"/>
      <w:bookmarkStart w:id="304" w:name="_Toc295898950"/>
      <w:r>
        <w:rPr>
          <w:rFonts w:hint="eastAsia" w:ascii="宋体" w:hAnsi="宋体" w:cs="宋体"/>
          <w:b/>
          <w:bCs/>
          <w:kern w:val="0"/>
          <w:sz w:val="32"/>
          <w:szCs w:val="32"/>
          <w:lang w:val="en-US" w:eastAsia="zh-CN"/>
        </w:rPr>
        <w:t>二</w:t>
      </w:r>
      <w:r>
        <w:rPr>
          <w:rFonts w:hint="eastAsia" w:ascii="宋体" w:hAnsi="宋体" w:cs="宋体"/>
          <w:b/>
          <w:bCs/>
          <w:kern w:val="0"/>
          <w:sz w:val="32"/>
          <w:szCs w:val="32"/>
        </w:rPr>
        <w:t>、投标函及投标函附录</w:t>
      </w:r>
    </w:p>
    <w:p w14:paraId="21C725B9">
      <w:pPr>
        <w:widowControl/>
        <w:spacing w:line="360" w:lineRule="auto"/>
        <w:jc w:val="center"/>
        <w:rPr>
          <w:rFonts w:ascii="宋体" w:hAnsi="宋体" w:cs="宋体"/>
          <w:b/>
          <w:bCs/>
          <w:sz w:val="28"/>
          <w:szCs w:val="28"/>
        </w:rPr>
      </w:pPr>
      <w:bookmarkStart w:id="305" w:name="_Toc487461433"/>
      <w:bookmarkStart w:id="306" w:name="_Hlk450185103"/>
      <w:r>
        <w:rPr>
          <w:rFonts w:hint="eastAsia" w:ascii="宋体" w:hAnsi="宋体" w:cs="宋体"/>
          <w:b/>
          <w:bCs/>
          <w:sz w:val="28"/>
          <w:szCs w:val="28"/>
        </w:rPr>
        <w:t>投 标 函</w:t>
      </w:r>
      <w:bookmarkEnd w:id="305"/>
    </w:p>
    <w:p w14:paraId="786AD939">
      <w:pPr>
        <w:spacing w:line="360" w:lineRule="auto"/>
        <w:rPr>
          <w:rFonts w:ascii="宋体" w:hAnsi="宋体" w:cs="宋体"/>
          <w:sz w:val="24"/>
          <w:szCs w:val="24"/>
        </w:rPr>
      </w:pPr>
      <w:r>
        <w:rPr>
          <w:rFonts w:hint="eastAsia" w:ascii="宋体" w:hAnsi="宋体" w:cs="宋体"/>
          <w:sz w:val="24"/>
          <w:szCs w:val="24"/>
        </w:rPr>
        <w:t>致：</w:t>
      </w:r>
      <w:r>
        <w:rPr>
          <w:rFonts w:hint="eastAsia" w:ascii="宋体" w:hAnsi="宋体" w:cs="宋体"/>
          <w:sz w:val="24"/>
          <w:szCs w:val="24"/>
          <w:u w:val="single"/>
        </w:rPr>
        <w:t xml:space="preserve">                     </w:t>
      </w:r>
      <w:r>
        <w:rPr>
          <w:rFonts w:hint="eastAsia" w:ascii="宋体" w:hAnsi="宋体" w:cs="宋体"/>
          <w:sz w:val="24"/>
          <w:szCs w:val="24"/>
        </w:rPr>
        <w:t xml:space="preserve">（招标人名称） </w:t>
      </w:r>
    </w:p>
    <w:p w14:paraId="694D62D5">
      <w:pPr>
        <w:spacing w:line="360" w:lineRule="auto"/>
        <w:ind w:firstLine="630"/>
        <w:rPr>
          <w:rFonts w:ascii="宋体" w:hAnsi="宋体"/>
          <w:bCs/>
          <w:kern w:val="0"/>
          <w:sz w:val="24"/>
          <w:szCs w:val="24"/>
          <w:lang w:val="zh-CN"/>
        </w:rPr>
      </w:pPr>
      <w:r>
        <w:rPr>
          <w:rFonts w:hint="eastAsia" w:ascii="宋体" w:hAnsi="宋体" w:cs="宋体"/>
          <w:sz w:val="24"/>
          <w:szCs w:val="24"/>
        </w:rPr>
        <w:t>1、我方己仔细研究了</w:t>
      </w:r>
      <w:r>
        <w:rPr>
          <w:rFonts w:ascii="宋体" w:hAnsi="宋体" w:cs="宋体"/>
          <w:sz w:val="24"/>
          <w:szCs w:val="24"/>
          <w:u w:val="single"/>
        </w:rPr>
        <w:t xml:space="preserve">      </w:t>
      </w:r>
      <w:r>
        <w:rPr>
          <w:rFonts w:hint="eastAsia" w:ascii="宋体" w:hAnsi="宋体" w:cs="宋体"/>
          <w:sz w:val="24"/>
          <w:szCs w:val="24"/>
        </w:rPr>
        <w:t>（项目编号）</w:t>
      </w:r>
      <w:r>
        <w:rPr>
          <w:rFonts w:ascii="宋体" w:hAnsi="宋体" w:cs="宋体"/>
          <w:sz w:val="24"/>
          <w:szCs w:val="24"/>
          <w:u w:val="single"/>
        </w:rPr>
        <w:t xml:space="preserve">    </w:t>
      </w:r>
      <w:r>
        <w:rPr>
          <w:rFonts w:hint="eastAsia" w:ascii="宋体" w:hAnsi="宋体" w:cs="宋体"/>
          <w:sz w:val="24"/>
          <w:szCs w:val="24"/>
          <w:u w:val="single"/>
        </w:rPr>
        <w:t>（项目名称）</w:t>
      </w:r>
      <w:r>
        <w:rPr>
          <w:rFonts w:ascii="宋体" w:hAnsi="宋体" w:cs="宋体"/>
          <w:sz w:val="24"/>
          <w:szCs w:val="24"/>
          <w:u w:val="single"/>
        </w:rPr>
        <w:t xml:space="preserve">   </w:t>
      </w:r>
      <w:r>
        <w:rPr>
          <w:rFonts w:hint="eastAsia" w:ascii="宋体" w:hAnsi="宋体" w:cs="宋体"/>
          <w:sz w:val="24"/>
          <w:szCs w:val="24"/>
          <w:lang w:eastAsia="zh-CN"/>
        </w:rPr>
        <w:t>遴选文件</w:t>
      </w:r>
      <w:r>
        <w:rPr>
          <w:rFonts w:hint="eastAsia" w:ascii="宋体" w:hAnsi="宋体" w:cs="宋体"/>
          <w:sz w:val="24"/>
          <w:szCs w:val="24"/>
        </w:rPr>
        <w:t>的全部内容和要求</w:t>
      </w:r>
      <w:r>
        <w:rPr>
          <w:rFonts w:hint="eastAsia" w:ascii="宋体" w:hAnsi="Calibri"/>
          <w:sz w:val="24"/>
          <w:szCs w:val="24"/>
        </w:rPr>
        <w:t>，提交投标</w:t>
      </w:r>
      <w:r>
        <w:rPr>
          <w:rFonts w:hint="eastAsia" w:ascii="宋体" w:hAnsi="宋体"/>
          <w:bCs/>
          <w:kern w:val="0"/>
          <w:sz w:val="24"/>
          <w:szCs w:val="24"/>
          <w:lang w:val="zh-CN"/>
        </w:rPr>
        <w:t>文件电子版 1 份；</w:t>
      </w:r>
      <w:r>
        <w:rPr>
          <w:rFonts w:hint="eastAsia" w:ascii="宋体" w:hAnsi="宋体"/>
          <w:b/>
          <w:bCs w:val="0"/>
          <w:color w:val="auto"/>
          <w:kern w:val="0"/>
          <w:sz w:val="24"/>
          <w:szCs w:val="24"/>
          <w:lang w:val="zh-CN"/>
        </w:rPr>
        <w:t>投标报价</w:t>
      </w:r>
      <w:r>
        <w:rPr>
          <w:rFonts w:hint="eastAsia" w:ascii="宋体" w:hAnsi="宋体"/>
          <w:bCs/>
          <w:kern w:val="0"/>
          <w:sz w:val="24"/>
          <w:szCs w:val="24"/>
          <w:lang w:val="zh-CN"/>
        </w:rPr>
        <w:t>：</w:t>
      </w:r>
      <w:r>
        <w:rPr>
          <w:rFonts w:hint="eastAsia" w:ascii="宋体" w:hAnsi="宋体"/>
          <w:bCs/>
          <w:kern w:val="0"/>
          <w:sz w:val="24"/>
          <w:szCs w:val="24"/>
          <w:u w:val="single"/>
        </w:rPr>
        <w:t xml:space="preserve"> </w:t>
      </w:r>
      <w:r>
        <w:rPr>
          <w:rFonts w:hint="eastAsia" w:ascii="宋体" w:hAnsi="宋体"/>
          <w:bCs/>
          <w:kern w:val="0"/>
          <w:sz w:val="24"/>
          <w:szCs w:val="24"/>
          <w:u w:val="single"/>
          <w:lang w:val="en-US" w:eastAsia="zh-CN"/>
        </w:rPr>
        <w:t xml:space="preserve">    </w:t>
      </w:r>
      <w:r>
        <w:rPr>
          <w:rFonts w:hint="eastAsia" w:ascii="宋体" w:hAnsi="宋体"/>
          <w:bCs/>
          <w:color w:val="auto"/>
          <w:kern w:val="0"/>
          <w:sz w:val="24"/>
          <w:szCs w:val="24"/>
          <w:u w:val="single"/>
          <w:lang w:val="en-US" w:eastAsia="zh-CN"/>
        </w:rPr>
        <w:t>，</w:t>
      </w:r>
      <w:r>
        <w:rPr>
          <w:rFonts w:hint="eastAsia" w:ascii="宋体" w:hAnsi="宋体"/>
          <w:bCs/>
          <w:color w:val="auto"/>
          <w:kern w:val="0"/>
          <w:sz w:val="24"/>
          <w:szCs w:val="24"/>
          <w:u w:val="single"/>
        </w:rPr>
        <w:t>取所有入库单位</w:t>
      </w:r>
      <w:r>
        <w:rPr>
          <w:rFonts w:hint="eastAsia" w:ascii="宋体" w:hAnsi="宋体"/>
          <w:bCs/>
          <w:color w:val="auto"/>
          <w:kern w:val="0"/>
          <w:sz w:val="24"/>
          <w:szCs w:val="24"/>
          <w:u w:val="single"/>
          <w:lang w:val="en-US" w:eastAsia="zh-CN"/>
        </w:rPr>
        <w:t>有效单项</w:t>
      </w:r>
      <w:r>
        <w:rPr>
          <w:rFonts w:hint="eastAsia" w:ascii="宋体" w:hAnsi="宋体"/>
          <w:bCs/>
          <w:color w:val="auto"/>
          <w:kern w:val="0"/>
          <w:sz w:val="24"/>
          <w:szCs w:val="24"/>
          <w:u w:val="single"/>
        </w:rPr>
        <w:t>报价</w:t>
      </w:r>
      <w:r>
        <w:rPr>
          <w:rFonts w:hint="eastAsia" w:ascii="宋体" w:hAnsi="宋体"/>
          <w:bCs/>
          <w:color w:val="auto"/>
          <w:kern w:val="0"/>
          <w:sz w:val="24"/>
          <w:szCs w:val="24"/>
          <w:u w:val="single"/>
          <w:lang w:val="en-US" w:eastAsia="zh-CN"/>
        </w:rPr>
        <w:t>平均值</w:t>
      </w:r>
      <w:r>
        <w:rPr>
          <w:rFonts w:hint="eastAsia" w:ascii="宋体" w:hAnsi="宋体"/>
          <w:bCs/>
          <w:color w:val="auto"/>
          <w:kern w:val="0"/>
          <w:sz w:val="24"/>
          <w:szCs w:val="24"/>
          <w:u w:val="single"/>
        </w:rPr>
        <w:t>为</w:t>
      </w:r>
      <w:r>
        <w:rPr>
          <w:rFonts w:hint="eastAsia" w:ascii="宋体" w:hAnsi="宋体"/>
          <w:bCs/>
          <w:color w:val="auto"/>
          <w:kern w:val="0"/>
          <w:sz w:val="24"/>
          <w:szCs w:val="24"/>
          <w:u w:val="single"/>
          <w:lang w:val="en-US" w:eastAsia="zh-CN"/>
        </w:rPr>
        <w:t>入库协议单价</w:t>
      </w:r>
      <w:r>
        <w:rPr>
          <w:rFonts w:hint="eastAsia" w:ascii="宋体" w:hAnsi="宋体"/>
          <w:bCs/>
          <w:kern w:val="0"/>
          <w:sz w:val="24"/>
          <w:szCs w:val="24"/>
          <w:lang w:val="zh-CN"/>
        </w:rPr>
        <w:t>。</w:t>
      </w:r>
    </w:p>
    <w:p w14:paraId="6D7D1F31">
      <w:pPr>
        <w:spacing w:line="360" w:lineRule="auto"/>
        <w:ind w:firstLine="480" w:firstLineChars="200"/>
        <w:rPr>
          <w:rFonts w:ascii="宋体" w:hAnsi="Calibri"/>
          <w:sz w:val="24"/>
          <w:szCs w:val="24"/>
        </w:rPr>
      </w:pPr>
      <w:r>
        <w:rPr>
          <w:rFonts w:hint="eastAsia" w:ascii="宋体" w:hAnsi="Calibri"/>
          <w:sz w:val="24"/>
          <w:szCs w:val="24"/>
        </w:rPr>
        <w:t>我方承诺同意接受</w:t>
      </w:r>
      <w:r>
        <w:rPr>
          <w:rFonts w:hint="eastAsia" w:ascii="宋体" w:hAnsi="Calibri"/>
          <w:sz w:val="24"/>
          <w:szCs w:val="24"/>
          <w:lang w:eastAsia="zh-CN"/>
        </w:rPr>
        <w:t>遴选文件</w:t>
      </w:r>
      <w:r>
        <w:rPr>
          <w:rFonts w:hint="eastAsia" w:ascii="宋体" w:hAnsi="Calibri"/>
          <w:sz w:val="24"/>
          <w:szCs w:val="24"/>
        </w:rPr>
        <w:t>的全部内容和条件。</w:t>
      </w:r>
    </w:p>
    <w:p w14:paraId="66DECB6C">
      <w:pPr>
        <w:spacing w:line="360" w:lineRule="auto"/>
        <w:ind w:firstLine="480" w:firstLineChars="200"/>
        <w:rPr>
          <w:rFonts w:ascii="宋体" w:hAnsi="宋体" w:cs="宋体"/>
          <w:sz w:val="24"/>
          <w:szCs w:val="24"/>
          <w:u w:val="single"/>
        </w:rPr>
      </w:pPr>
      <w:r>
        <w:rPr>
          <w:rFonts w:ascii="宋体" w:hAnsi="宋体" w:cs="宋体"/>
          <w:sz w:val="24"/>
          <w:szCs w:val="24"/>
        </w:rPr>
        <w:t>2</w:t>
      </w:r>
      <w:r>
        <w:rPr>
          <w:rFonts w:hint="eastAsia" w:ascii="宋体" w:hAnsi="宋体" w:cs="宋体"/>
          <w:sz w:val="24"/>
          <w:szCs w:val="24"/>
        </w:rPr>
        <w:t>.我方承诺按合同约定、</w:t>
      </w:r>
      <w:r>
        <w:rPr>
          <w:rFonts w:hint="eastAsia" w:ascii="宋体" w:hAnsi="宋体" w:cs="宋体"/>
          <w:sz w:val="24"/>
          <w:szCs w:val="24"/>
          <w:lang w:eastAsia="zh-CN"/>
        </w:rPr>
        <w:t>遴选文件</w:t>
      </w:r>
      <w:r>
        <w:rPr>
          <w:rFonts w:hint="eastAsia" w:ascii="宋体" w:hAnsi="宋体" w:cs="宋体"/>
          <w:sz w:val="24"/>
          <w:szCs w:val="24"/>
        </w:rPr>
        <w:t>及单个项目委托书要求实施和完成服务。</w:t>
      </w:r>
    </w:p>
    <w:p w14:paraId="0A4E787A">
      <w:pPr>
        <w:spacing w:line="360" w:lineRule="auto"/>
        <w:ind w:firstLine="480" w:firstLineChars="200"/>
        <w:rPr>
          <w:rFonts w:ascii="宋体" w:hAnsi="宋体" w:cs="宋体"/>
          <w:sz w:val="24"/>
          <w:szCs w:val="24"/>
        </w:rPr>
      </w:pPr>
      <w:r>
        <w:rPr>
          <w:rFonts w:ascii="宋体" w:hAnsi="宋体" w:cs="宋体"/>
          <w:sz w:val="24"/>
          <w:szCs w:val="24"/>
        </w:rPr>
        <w:t>3</w:t>
      </w:r>
      <w:r>
        <w:rPr>
          <w:rFonts w:hint="eastAsia" w:ascii="宋体" w:hAnsi="宋体" w:cs="宋体"/>
          <w:sz w:val="24"/>
          <w:szCs w:val="24"/>
        </w:rPr>
        <w:t>．我方承诺在投标有效期内不修改、撤销投标文件。</w:t>
      </w:r>
    </w:p>
    <w:p w14:paraId="439B7B43">
      <w:pPr>
        <w:spacing w:line="360" w:lineRule="auto"/>
        <w:ind w:firstLine="480" w:firstLineChars="200"/>
        <w:rPr>
          <w:rFonts w:ascii="宋体" w:hAnsi="宋体" w:cs="宋体"/>
          <w:sz w:val="24"/>
          <w:szCs w:val="24"/>
        </w:rPr>
      </w:pPr>
      <w:r>
        <w:rPr>
          <w:rFonts w:ascii="宋体" w:hAnsi="宋体" w:cs="宋体"/>
          <w:sz w:val="24"/>
          <w:szCs w:val="24"/>
        </w:rPr>
        <w:t>4</w:t>
      </w:r>
      <w:r>
        <w:rPr>
          <w:rFonts w:hint="eastAsia" w:ascii="宋体" w:hAnsi="宋体" w:cs="宋体"/>
          <w:sz w:val="24"/>
          <w:szCs w:val="24"/>
        </w:rPr>
        <w:t>．如我方中标，承诺如下：</w:t>
      </w:r>
    </w:p>
    <w:p w14:paraId="49EF85F7">
      <w:pPr>
        <w:spacing w:line="360" w:lineRule="auto"/>
        <w:ind w:firstLine="480" w:firstLineChars="200"/>
        <w:rPr>
          <w:rFonts w:ascii="宋体" w:hAnsi="宋体" w:cs="宋体"/>
          <w:sz w:val="24"/>
          <w:szCs w:val="24"/>
        </w:rPr>
      </w:pPr>
      <w:r>
        <w:rPr>
          <w:rFonts w:hint="eastAsia" w:ascii="宋体" w:hAnsi="宋体" w:cs="宋体"/>
          <w:sz w:val="24"/>
          <w:szCs w:val="24"/>
        </w:rPr>
        <w:t>(l）在收到中标通知书后，在中标通知书规定的期限内与你方签订合同。</w:t>
      </w:r>
    </w:p>
    <w:p w14:paraId="24111138">
      <w:pPr>
        <w:spacing w:line="360" w:lineRule="auto"/>
        <w:ind w:firstLine="480" w:firstLineChars="200"/>
        <w:rPr>
          <w:rFonts w:ascii="宋体" w:hAnsi="宋体" w:cs="宋体"/>
          <w:sz w:val="24"/>
          <w:szCs w:val="24"/>
        </w:rPr>
      </w:pPr>
      <w:r>
        <w:rPr>
          <w:rFonts w:hint="eastAsia" w:ascii="宋体" w:hAnsi="宋体" w:cs="宋体"/>
          <w:sz w:val="24"/>
          <w:szCs w:val="24"/>
        </w:rPr>
        <w:t>(2）随同本投标函递交的投标函附录（投标人诚信承诺书）属于合同文件的组成部分。</w:t>
      </w:r>
    </w:p>
    <w:p w14:paraId="7E26530E">
      <w:pPr>
        <w:spacing w:line="360" w:lineRule="auto"/>
        <w:ind w:firstLine="480" w:firstLineChars="200"/>
        <w:rPr>
          <w:rFonts w:ascii="宋体" w:hAnsi="宋体" w:cs="宋体"/>
          <w:sz w:val="24"/>
          <w:szCs w:val="24"/>
        </w:rPr>
      </w:pPr>
      <w:r>
        <w:rPr>
          <w:rFonts w:hint="eastAsia" w:ascii="宋体" w:hAnsi="宋体" w:cs="宋体"/>
          <w:sz w:val="24"/>
          <w:szCs w:val="24"/>
        </w:rPr>
        <w:t>(3）按照</w:t>
      </w:r>
      <w:r>
        <w:rPr>
          <w:rFonts w:hint="eastAsia" w:ascii="宋体" w:hAnsi="宋体" w:cs="宋体"/>
          <w:sz w:val="24"/>
          <w:szCs w:val="24"/>
          <w:lang w:eastAsia="zh-CN"/>
        </w:rPr>
        <w:t>遴选文件</w:t>
      </w:r>
      <w:r>
        <w:rPr>
          <w:rFonts w:hint="eastAsia" w:ascii="宋体" w:hAnsi="宋体" w:cs="宋体"/>
          <w:sz w:val="24"/>
          <w:szCs w:val="24"/>
        </w:rPr>
        <w:t>规定向你方递交履约担保。</w:t>
      </w:r>
    </w:p>
    <w:p w14:paraId="67CB1BAD">
      <w:pPr>
        <w:spacing w:line="360" w:lineRule="auto"/>
        <w:ind w:firstLine="480" w:firstLineChars="200"/>
        <w:rPr>
          <w:rFonts w:ascii="宋体" w:hAnsi="宋体" w:cs="宋体"/>
          <w:sz w:val="24"/>
          <w:szCs w:val="24"/>
        </w:rPr>
      </w:pPr>
      <w:r>
        <w:rPr>
          <w:rFonts w:hint="eastAsia" w:ascii="宋体" w:hAnsi="宋体" w:cs="宋体"/>
          <w:sz w:val="24"/>
          <w:szCs w:val="24"/>
        </w:rPr>
        <w:t>(4）在合同约定的期限内完成服务内容，并接受贵方的考核。</w:t>
      </w:r>
    </w:p>
    <w:p w14:paraId="30EFC01E">
      <w:pPr>
        <w:spacing w:line="360" w:lineRule="auto"/>
        <w:ind w:firstLine="480" w:firstLineChars="200"/>
        <w:rPr>
          <w:rFonts w:ascii="宋体" w:hAnsi="宋体" w:cs="宋体"/>
          <w:sz w:val="24"/>
          <w:szCs w:val="24"/>
        </w:rPr>
      </w:pPr>
      <w:r>
        <w:rPr>
          <w:rFonts w:hint="eastAsia" w:ascii="宋体" w:hAnsi="宋体" w:cs="宋体"/>
          <w:sz w:val="24"/>
          <w:szCs w:val="24"/>
        </w:rPr>
        <w:t>(5）本投标函在</w:t>
      </w:r>
      <w:r>
        <w:rPr>
          <w:rFonts w:hint="eastAsia" w:ascii="宋体" w:hAnsi="宋体" w:cs="宋体"/>
          <w:sz w:val="24"/>
          <w:szCs w:val="24"/>
          <w:lang w:eastAsia="zh-CN"/>
        </w:rPr>
        <w:t>遴选文件</w:t>
      </w:r>
      <w:r>
        <w:rPr>
          <w:rFonts w:hint="eastAsia" w:ascii="宋体" w:hAnsi="宋体" w:cs="宋体"/>
          <w:sz w:val="24"/>
          <w:szCs w:val="24"/>
        </w:rPr>
        <w:t>规定的提交投标文件截止时间后，在</w:t>
      </w:r>
      <w:r>
        <w:rPr>
          <w:rFonts w:hint="eastAsia" w:ascii="宋体" w:hAnsi="宋体" w:cs="宋体"/>
          <w:sz w:val="24"/>
          <w:szCs w:val="24"/>
          <w:lang w:eastAsia="zh-CN"/>
        </w:rPr>
        <w:t>遴选文件</w:t>
      </w:r>
      <w:r>
        <w:rPr>
          <w:rFonts w:hint="eastAsia" w:ascii="宋体" w:hAnsi="宋体" w:cs="宋体"/>
          <w:sz w:val="24"/>
          <w:szCs w:val="24"/>
        </w:rPr>
        <w:t>规定的投标有效期期满前对我方具有约束力，且随时准备接受你方发出的中标通知书。</w:t>
      </w:r>
    </w:p>
    <w:p w14:paraId="4CCB886C">
      <w:pPr>
        <w:spacing w:line="360" w:lineRule="auto"/>
        <w:rPr>
          <w:rFonts w:ascii="宋体" w:hAnsi="宋体" w:cs="宋体"/>
          <w:sz w:val="24"/>
          <w:szCs w:val="24"/>
        </w:rPr>
      </w:pPr>
      <w:r>
        <w:rPr>
          <w:rFonts w:hint="eastAsia" w:ascii="宋体" w:hAnsi="宋体" w:cs="宋体"/>
          <w:sz w:val="24"/>
          <w:szCs w:val="24"/>
        </w:rPr>
        <w:t xml:space="preserve">   （6）在价款结算过程中按照</w:t>
      </w:r>
      <w:r>
        <w:rPr>
          <w:rFonts w:hint="eastAsia" w:ascii="宋体" w:hAnsi="宋体" w:cs="宋体"/>
          <w:sz w:val="24"/>
          <w:szCs w:val="24"/>
          <w:lang w:eastAsia="zh-CN"/>
        </w:rPr>
        <w:t>遴选文件</w:t>
      </w:r>
      <w:r>
        <w:rPr>
          <w:rFonts w:hint="eastAsia" w:ascii="宋体" w:hAnsi="宋体" w:cs="宋体"/>
          <w:sz w:val="24"/>
          <w:szCs w:val="24"/>
        </w:rPr>
        <w:t>约定的方式进行结算。</w:t>
      </w:r>
    </w:p>
    <w:p w14:paraId="34DCA6D6">
      <w:pPr>
        <w:spacing w:line="360" w:lineRule="auto"/>
        <w:ind w:firstLine="480"/>
        <w:rPr>
          <w:rFonts w:ascii="宋体" w:hAnsi="宋体" w:cs="宋体"/>
          <w:sz w:val="24"/>
          <w:szCs w:val="24"/>
        </w:rPr>
      </w:pPr>
      <w:r>
        <w:rPr>
          <w:rFonts w:hint="eastAsia" w:ascii="宋体" w:hAnsi="宋体" w:cs="宋体"/>
          <w:sz w:val="24"/>
          <w:szCs w:val="24"/>
        </w:rPr>
        <w:t>(7) 后期履约过程中除不可抗力外如放弃（拒绝）履约，同意履约保证金不予退还，三年内不参与阜阳市公共资源交易活动。</w:t>
      </w:r>
    </w:p>
    <w:p w14:paraId="4DEED64E">
      <w:pPr>
        <w:spacing w:line="360" w:lineRule="auto"/>
        <w:ind w:firstLine="480"/>
        <w:rPr>
          <w:rFonts w:ascii="宋体" w:hAnsi="宋体" w:cs="宋体"/>
          <w:sz w:val="24"/>
          <w:szCs w:val="24"/>
        </w:rPr>
      </w:pPr>
      <w:r>
        <w:rPr>
          <w:rFonts w:ascii="宋体" w:hAnsi="宋体" w:cs="宋体"/>
          <w:sz w:val="24"/>
          <w:szCs w:val="24"/>
        </w:rPr>
        <w:t>5</w:t>
      </w:r>
      <w:r>
        <w:rPr>
          <w:rFonts w:hint="eastAsia" w:ascii="宋体" w:hAnsi="宋体" w:cs="宋体"/>
          <w:sz w:val="24"/>
          <w:szCs w:val="24"/>
        </w:rPr>
        <w:t>．我方在此声明，所递交的投标文件及有关资料内容完整、真实和准确，且不存在第二章“投标人须知”第1.4.</w:t>
      </w:r>
      <w:r>
        <w:rPr>
          <w:rFonts w:hint="eastAsia" w:ascii="宋体" w:hAnsi="宋体" w:cs="宋体"/>
          <w:sz w:val="24"/>
          <w:szCs w:val="24"/>
          <w:lang w:val="en-US" w:eastAsia="zh-CN"/>
        </w:rPr>
        <w:t>2</w:t>
      </w:r>
      <w:r>
        <w:rPr>
          <w:rFonts w:hint="eastAsia" w:ascii="宋体" w:hAnsi="宋体" w:cs="宋体"/>
          <w:sz w:val="24"/>
          <w:szCs w:val="24"/>
        </w:rPr>
        <w:t xml:space="preserve"> 项规定、投标人诚信承诺书及以下不良信用记录的任何一种情形。</w:t>
      </w:r>
    </w:p>
    <w:p w14:paraId="397EB259">
      <w:pPr>
        <w:spacing w:line="360" w:lineRule="auto"/>
        <w:ind w:firstLine="480" w:firstLineChars="200"/>
        <w:rPr>
          <w:rFonts w:ascii="宋体" w:hAnsi="宋体" w:cs="宋体"/>
          <w:sz w:val="24"/>
          <w:szCs w:val="24"/>
        </w:rPr>
      </w:pPr>
      <w:r>
        <w:rPr>
          <w:rFonts w:hint="eastAsia" w:ascii="宋体" w:hAnsi="宋体" w:cs="宋体"/>
          <w:sz w:val="24"/>
          <w:szCs w:val="24"/>
        </w:rPr>
        <w:t>(1）投标人被人民法院列入失信被执行人的；</w:t>
      </w:r>
    </w:p>
    <w:p w14:paraId="22EA9B1E">
      <w:pPr>
        <w:spacing w:line="360" w:lineRule="auto"/>
        <w:ind w:firstLine="480" w:firstLineChars="200"/>
        <w:rPr>
          <w:rFonts w:ascii="宋体" w:hAnsi="宋体" w:cs="宋体"/>
          <w:sz w:val="24"/>
          <w:szCs w:val="24"/>
        </w:rPr>
      </w:pPr>
      <w:r>
        <w:rPr>
          <w:rFonts w:hint="eastAsia" w:ascii="宋体" w:hAnsi="宋体" w:cs="宋体"/>
          <w:sz w:val="24"/>
          <w:szCs w:val="24"/>
        </w:rPr>
        <w:t>(2）投标人被工商行政管理部门列入企业经营异常名录的；</w:t>
      </w:r>
    </w:p>
    <w:p w14:paraId="786B50A9">
      <w:pPr>
        <w:spacing w:line="360" w:lineRule="auto"/>
        <w:ind w:firstLine="480" w:firstLineChars="200"/>
        <w:rPr>
          <w:rFonts w:ascii="宋体" w:hAnsi="宋体" w:cs="宋体"/>
          <w:sz w:val="24"/>
          <w:szCs w:val="24"/>
        </w:rPr>
      </w:pPr>
      <w:r>
        <w:rPr>
          <w:rFonts w:hint="eastAsia" w:ascii="宋体" w:hAnsi="宋体" w:cs="宋体"/>
          <w:sz w:val="24"/>
          <w:szCs w:val="24"/>
        </w:rPr>
        <w:t>(3）投标人被税务部门列入重大税收违法案件当事人名单的；</w:t>
      </w:r>
    </w:p>
    <w:p w14:paraId="4D8919E8">
      <w:pPr>
        <w:spacing w:line="360" w:lineRule="auto"/>
        <w:ind w:firstLine="480" w:firstLineChars="200"/>
        <w:rPr>
          <w:rFonts w:ascii="宋体" w:hAnsi="宋体" w:cs="宋体"/>
          <w:sz w:val="24"/>
          <w:szCs w:val="24"/>
        </w:rPr>
      </w:pPr>
      <w:r>
        <w:rPr>
          <w:rFonts w:hint="eastAsia" w:ascii="宋体" w:hAnsi="宋体" w:cs="宋体"/>
          <w:sz w:val="24"/>
          <w:szCs w:val="24"/>
        </w:rPr>
        <w:t>(4）投标人被政府采购监管部门列入政府采购严重违法失信行为记录名单的。</w:t>
      </w:r>
    </w:p>
    <w:p w14:paraId="423C33E8">
      <w:pPr>
        <w:pStyle w:val="18"/>
        <w:ind w:left="0" w:leftChars="0" w:firstLine="480"/>
        <w:rPr>
          <w:rFonts w:hint="eastAsia" w:ascii="宋体" w:hAnsi="宋体" w:cs="宋体"/>
          <w:sz w:val="24"/>
          <w:szCs w:val="24"/>
        </w:rPr>
      </w:pPr>
      <w:r>
        <w:rPr>
          <w:rFonts w:hint="eastAsia" w:ascii="宋体" w:hAnsi="宋体" w:cs="宋体"/>
          <w:sz w:val="24"/>
          <w:szCs w:val="24"/>
        </w:rPr>
        <w:t>(</w:t>
      </w:r>
      <w:r>
        <w:rPr>
          <w:rFonts w:ascii="宋体" w:hAnsi="宋体" w:cs="宋体"/>
          <w:sz w:val="24"/>
          <w:szCs w:val="24"/>
        </w:rPr>
        <w:t>5)</w:t>
      </w:r>
      <w:r>
        <w:rPr>
          <w:rFonts w:hint="eastAsia" w:ascii="宋体" w:hAnsi="宋体" w:cs="宋体"/>
          <w:sz w:val="24"/>
          <w:szCs w:val="24"/>
        </w:rPr>
        <w:t xml:space="preserve"> 近三年内投标人在经营活动中没有因违反有关法律法规受到刑事处罚或者取消资格的行政处罚。</w:t>
      </w:r>
    </w:p>
    <w:p w14:paraId="09BED3E0">
      <w:pPr>
        <w:pStyle w:val="14"/>
        <w:ind w:left="479" w:leftChars="228" w:firstLine="0" w:firstLineChars="0"/>
        <w:rPr>
          <w:rFonts w:hint="eastAsia" w:ascii="宋体" w:hAnsi="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6</w:t>
      </w:r>
      <w:r>
        <w:rPr>
          <w:rFonts w:hint="eastAsia" w:ascii="宋体" w:hAnsi="宋体" w:cs="宋体"/>
          <w:sz w:val="24"/>
          <w:szCs w:val="24"/>
          <w:lang w:eastAsia="zh-CN"/>
        </w:rPr>
        <w:t>）</w:t>
      </w:r>
      <w:r>
        <w:rPr>
          <w:rFonts w:hint="eastAsia" w:ascii="宋体" w:hAnsi="宋体" w:cs="宋体"/>
          <w:sz w:val="24"/>
          <w:szCs w:val="24"/>
        </w:rPr>
        <w:t>经营、财务状况</w:t>
      </w:r>
      <w:r>
        <w:rPr>
          <w:rFonts w:hint="eastAsia" w:ascii="宋体" w:hAnsi="宋体" w:cs="宋体"/>
          <w:sz w:val="24"/>
          <w:szCs w:val="24"/>
          <w:lang w:val="en-US" w:eastAsia="zh-CN"/>
        </w:rPr>
        <w:t>有</w:t>
      </w:r>
      <w:r>
        <w:rPr>
          <w:rFonts w:hint="eastAsia" w:ascii="宋体" w:hAnsi="宋体" w:cs="宋体"/>
          <w:sz w:val="24"/>
          <w:szCs w:val="24"/>
        </w:rPr>
        <w:t>较大变化</w:t>
      </w:r>
      <w:r>
        <w:rPr>
          <w:rFonts w:hint="eastAsia" w:ascii="宋体" w:hAnsi="宋体" w:cs="宋体"/>
          <w:sz w:val="24"/>
          <w:szCs w:val="24"/>
          <w:lang w:val="en-US" w:eastAsia="zh-CN"/>
        </w:rPr>
        <w:t>或</w:t>
      </w:r>
      <w:r>
        <w:rPr>
          <w:rFonts w:hint="eastAsia" w:ascii="宋体" w:hAnsi="宋体" w:cs="宋体"/>
          <w:sz w:val="24"/>
          <w:szCs w:val="24"/>
        </w:rPr>
        <w:t>存在违法行为</w:t>
      </w:r>
      <w:r>
        <w:rPr>
          <w:rFonts w:hint="eastAsia" w:ascii="宋体" w:hAnsi="宋体" w:cs="宋体"/>
          <w:sz w:val="24"/>
          <w:szCs w:val="24"/>
          <w:lang w:val="en-US" w:eastAsia="zh-CN"/>
        </w:rPr>
        <w:t>的</w:t>
      </w:r>
      <w:r>
        <w:rPr>
          <w:rFonts w:hint="eastAsia" w:ascii="宋体" w:hAnsi="宋体" w:cs="宋体"/>
          <w:sz w:val="24"/>
          <w:szCs w:val="24"/>
        </w:rPr>
        <w:t>。</w:t>
      </w:r>
    </w:p>
    <w:p w14:paraId="72F15921">
      <w:pPr>
        <w:numPr>
          <w:ilvl w:val="0"/>
          <w:numId w:val="3"/>
        </w:numPr>
        <w:spacing w:line="360" w:lineRule="auto"/>
        <w:ind w:firstLine="480" w:firstLineChars="200"/>
        <w:rPr>
          <w:rFonts w:ascii="宋体" w:hAnsi="宋体" w:cs="宋体"/>
          <w:sz w:val="24"/>
          <w:szCs w:val="24"/>
        </w:rPr>
      </w:pPr>
      <w:r>
        <w:rPr>
          <w:rFonts w:hint="eastAsia" w:ascii="宋体" w:hAnsi="宋体" w:cs="宋体"/>
          <w:sz w:val="24"/>
          <w:szCs w:val="24"/>
        </w:rPr>
        <w:t>如招标人按照评标委员会提出的中标候选人名单排序顺延确定我单位为中标人,我单位作为顺延的中标候选人愿意和承诺按照入库协议价签订合同。</w:t>
      </w:r>
    </w:p>
    <w:p w14:paraId="520E48FD">
      <w:pPr>
        <w:spacing w:line="360" w:lineRule="auto"/>
        <w:ind w:firstLine="480"/>
        <w:rPr>
          <w:rFonts w:ascii="宋体" w:hAnsi="宋体" w:cs="宋体"/>
          <w:sz w:val="24"/>
          <w:szCs w:val="24"/>
        </w:rPr>
      </w:pPr>
      <w:r>
        <w:rPr>
          <w:rFonts w:ascii="宋体" w:hAnsi="宋体" w:cs="宋体"/>
          <w:sz w:val="24"/>
          <w:szCs w:val="24"/>
        </w:rPr>
        <w:t>7</w:t>
      </w:r>
      <w:r>
        <w:rPr>
          <w:rFonts w:hint="eastAsia" w:ascii="宋体" w:hAnsi="宋体" w:cs="宋体"/>
          <w:sz w:val="24"/>
          <w:szCs w:val="24"/>
        </w:rPr>
        <w:t xml:space="preserve">. </w:t>
      </w:r>
      <w:r>
        <w:rPr>
          <w:rFonts w:hint="eastAsia" w:ascii="宋体" w:hAnsi="宋体" w:cs="宋体"/>
          <w:sz w:val="24"/>
          <w:szCs w:val="24"/>
          <w:u w:val="single"/>
        </w:rPr>
        <w:t xml:space="preserve">                     </w:t>
      </w:r>
      <w:r>
        <w:rPr>
          <w:rFonts w:hint="eastAsia" w:ascii="宋体" w:hAnsi="宋体" w:cs="宋体"/>
          <w:sz w:val="24"/>
          <w:szCs w:val="24"/>
        </w:rPr>
        <w:t>（其他补充说明）。</w:t>
      </w:r>
    </w:p>
    <w:p w14:paraId="3DAAA71D">
      <w:pPr>
        <w:spacing w:line="360" w:lineRule="auto"/>
        <w:ind w:firstLine="480"/>
        <w:rPr>
          <w:rFonts w:ascii="宋体" w:hAnsi="宋体" w:cs="宋体"/>
          <w:sz w:val="24"/>
          <w:szCs w:val="24"/>
        </w:rPr>
      </w:pPr>
      <w:r>
        <w:rPr>
          <w:rFonts w:hint="eastAsia" w:ascii="宋体" w:hAnsi="宋体" w:cs="宋体"/>
          <w:sz w:val="24"/>
          <w:szCs w:val="24"/>
        </w:rPr>
        <w:t>附录1：投标人诚信承诺书；</w:t>
      </w:r>
    </w:p>
    <w:p w14:paraId="330F4701">
      <w:pPr>
        <w:spacing w:line="360" w:lineRule="auto"/>
        <w:jc w:val="right"/>
        <w:rPr>
          <w:rFonts w:ascii="宋体" w:hAnsi="宋体" w:cs="宋体"/>
          <w:sz w:val="24"/>
          <w:szCs w:val="24"/>
        </w:rPr>
      </w:pPr>
      <w:r>
        <w:rPr>
          <w:rFonts w:hint="eastAsia" w:ascii="宋体" w:hAnsi="宋体" w:cs="宋体"/>
          <w:sz w:val="24"/>
          <w:szCs w:val="24"/>
        </w:rPr>
        <w:t>投标人：</w:t>
      </w:r>
      <w:r>
        <w:rPr>
          <w:rFonts w:hint="eastAsia" w:ascii="宋体" w:hAnsi="宋体" w:cs="宋体"/>
          <w:sz w:val="24"/>
          <w:szCs w:val="24"/>
          <w:u w:val="single"/>
        </w:rPr>
        <w:t xml:space="preserve">                                </w:t>
      </w:r>
      <w:r>
        <w:rPr>
          <w:rFonts w:hint="eastAsia" w:ascii="宋体" w:hAnsi="宋体" w:cs="宋体"/>
          <w:sz w:val="24"/>
          <w:szCs w:val="24"/>
        </w:rPr>
        <w:t>（盖单位章）</w:t>
      </w:r>
    </w:p>
    <w:p w14:paraId="03A195A1">
      <w:pPr>
        <w:spacing w:line="360" w:lineRule="auto"/>
        <w:jc w:val="right"/>
        <w:rPr>
          <w:rFonts w:ascii="宋体" w:hAnsi="宋体" w:cs="宋体"/>
          <w:sz w:val="24"/>
          <w:szCs w:val="24"/>
        </w:rPr>
      </w:pPr>
      <w:r>
        <w:rPr>
          <w:rFonts w:hint="eastAsia" w:ascii="宋体" w:hAnsi="宋体" w:cs="宋体"/>
          <w:sz w:val="24"/>
          <w:szCs w:val="24"/>
        </w:rPr>
        <w:t>法定代表人或其委托代理人：</w:t>
      </w:r>
      <w:r>
        <w:rPr>
          <w:rFonts w:hint="eastAsia" w:ascii="宋体" w:hAnsi="宋体" w:cs="宋体"/>
          <w:sz w:val="24"/>
          <w:szCs w:val="24"/>
          <w:u w:val="single"/>
        </w:rPr>
        <w:t xml:space="preserve">            </w:t>
      </w:r>
      <w:r>
        <w:rPr>
          <w:rFonts w:hint="eastAsia" w:ascii="宋体" w:hAnsi="宋体" w:cs="宋体"/>
          <w:sz w:val="24"/>
          <w:szCs w:val="24"/>
        </w:rPr>
        <w:t>（签字或盖章）</w:t>
      </w:r>
    </w:p>
    <w:p w14:paraId="39B0A2BA">
      <w:pPr>
        <w:spacing w:line="360" w:lineRule="auto"/>
        <w:jc w:val="center"/>
        <w:rPr>
          <w:rFonts w:ascii="宋体" w:hAnsi="宋体" w:cs="宋体"/>
          <w:sz w:val="24"/>
          <w:szCs w:val="24"/>
        </w:rPr>
      </w:pPr>
      <w:r>
        <w:rPr>
          <w:rFonts w:hint="eastAsia" w:ascii="宋体" w:hAnsi="宋体" w:cs="宋体"/>
          <w:sz w:val="24"/>
          <w:szCs w:val="24"/>
        </w:rPr>
        <w:t xml:space="preserve">             地  址 </w:t>
      </w:r>
      <w:r>
        <w:rPr>
          <w:rFonts w:hint="eastAsia" w:ascii="宋体" w:hAnsi="宋体" w:cs="宋体"/>
          <w:sz w:val="24"/>
          <w:szCs w:val="24"/>
          <w:u w:val="single"/>
        </w:rPr>
        <w:t xml:space="preserve">                                      </w:t>
      </w:r>
      <w:r>
        <w:rPr>
          <w:rFonts w:hint="eastAsia" w:ascii="宋体" w:hAnsi="宋体" w:cs="宋体"/>
          <w:sz w:val="24"/>
          <w:szCs w:val="24"/>
        </w:rPr>
        <w:t>：</w:t>
      </w:r>
    </w:p>
    <w:p w14:paraId="12CB479E">
      <w:pPr>
        <w:spacing w:line="360" w:lineRule="auto"/>
        <w:ind w:firstLine="720" w:firstLineChars="300"/>
        <w:jc w:val="center"/>
        <w:rPr>
          <w:rFonts w:ascii="宋体" w:hAnsi="宋体" w:cs="宋体"/>
          <w:sz w:val="24"/>
          <w:szCs w:val="24"/>
        </w:rPr>
      </w:pPr>
      <w:r>
        <w:rPr>
          <w:rFonts w:hint="eastAsia" w:ascii="宋体" w:hAnsi="宋体" w:cs="宋体"/>
          <w:sz w:val="24"/>
          <w:szCs w:val="24"/>
        </w:rPr>
        <w:t xml:space="preserve">                     电   话</w:t>
      </w:r>
      <w:r>
        <w:rPr>
          <w:rFonts w:hint="eastAsia" w:ascii="宋体" w:hAnsi="宋体" w:cs="宋体"/>
          <w:sz w:val="24"/>
          <w:szCs w:val="24"/>
          <w:u w:val="single"/>
        </w:rPr>
        <w:t xml:space="preserve">                              </w:t>
      </w:r>
      <w:r>
        <w:rPr>
          <w:rFonts w:hint="eastAsia" w:ascii="宋体" w:hAnsi="宋体" w:cs="宋体"/>
          <w:sz w:val="24"/>
          <w:szCs w:val="24"/>
        </w:rPr>
        <w:t>：</w:t>
      </w:r>
    </w:p>
    <w:p w14:paraId="00896C05">
      <w:pPr>
        <w:spacing w:line="360" w:lineRule="auto"/>
        <w:jc w:val="center"/>
        <w:rPr>
          <w:rFonts w:ascii="宋体" w:hAnsi="宋体" w:cs="宋体"/>
          <w:sz w:val="24"/>
          <w:szCs w:val="24"/>
        </w:rPr>
      </w:pPr>
      <w:r>
        <w:rPr>
          <w:rFonts w:hint="eastAsia" w:ascii="宋体" w:hAnsi="宋体" w:cs="宋体"/>
          <w:sz w:val="24"/>
          <w:szCs w:val="24"/>
        </w:rPr>
        <w:t xml:space="preserve">                      传  真</w:t>
      </w:r>
      <w:r>
        <w:rPr>
          <w:rFonts w:hint="eastAsia" w:ascii="宋体" w:hAnsi="宋体" w:cs="宋体"/>
          <w:sz w:val="24"/>
          <w:szCs w:val="24"/>
          <w:u w:val="single"/>
        </w:rPr>
        <w:t xml:space="preserve">                          </w:t>
      </w:r>
      <w:r>
        <w:rPr>
          <w:rFonts w:hint="eastAsia" w:ascii="宋体" w:hAnsi="宋体" w:cs="宋体"/>
          <w:sz w:val="24"/>
          <w:szCs w:val="24"/>
        </w:rPr>
        <w:t>：</w:t>
      </w:r>
      <w:r>
        <w:rPr>
          <w:rFonts w:hint="eastAsia" w:ascii="宋体" w:hAnsi="宋体" w:cs="宋体"/>
          <w:sz w:val="24"/>
          <w:szCs w:val="24"/>
          <w:u w:val="single"/>
        </w:rPr>
        <w:t xml:space="preserve">                                 </w:t>
      </w:r>
    </w:p>
    <w:p w14:paraId="5AB69AFA">
      <w:pPr>
        <w:spacing w:line="360" w:lineRule="auto"/>
        <w:ind w:firstLine="4944" w:firstLineChars="2060"/>
        <w:rPr>
          <w:rFonts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6B23D543">
      <w:pPr>
        <w:widowControl/>
        <w:spacing w:line="360" w:lineRule="auto"/>
        <w:jc w:val="left"/>
        <w:rPr>
          <w:rFonts w:ascii="宋体" w:hAnsi="宋体" w:cs="宋体"/>
          <w:b/>
          <w:bCs/>
          <w:kern w:val="0"/>
          <w:sz w:val="24"/>
          <w:szCs w:val="24"/>
        </w:rPr>
      </w:pPr>
      <w:r>
        <w:rPr>
          <w:rFonts w:hint="eastAsia" w:ascii="宋体" w:hAnsi="宋体" w:cs="宋体"/>
          <w:b/>
          <w:bCs/>
          <w:kern w:val="0"/>
          <w:sz w:val="24"/>
          <w:szCs w:val="24"/>
        </w:rPr>
        <w:br w:type="page"/>
      </w:r>
      <w:r>
        <w:rPr>
          <w:rFonts w:hint="eastAsia" w:ascii="宋体" w:hAnsi="宋体" w:cs="宋体"/>
          <w:b/>
          <w:bCs/>
          <w:kern w:val="0"/>
          <w:sz w:val="24"/>
          <w:szCs w:val="24"/>
        </w:rPr>
        <w:t>附录1：</w:t>
      </w:r>
    </w:p>
    <w:p w14:paraId="37BE76CD">
      <w:pPr>
        <w:widowControl/>
        <w:spacing w:line="360" w:lineRule="auto"/>
        <w:jc w:val="left"/>
        <w:rPr>
          <w:rFonts w:ascii="宋体" w:hAnsi="宋体" w:cs="宋体"/>
          <w:b/>
          <w:bCs/>
          <w:kern w:val="0"/>
          <w:sz w:val="24"/>
          <w:szCs w:val="24"/>
        </w:rPr>
      </w:pPr>
    </w:p>
    <w:p w14:paraId="34D2509B">
      <w:pPr>
        <w:widowControl/>
        <w:spacing w:line="360" w:lineRule="auto"/>
        <w:jc w:val="center"/>
        <w:rPr>
          <w:rFonts w:ascii="宋体" w:hAnsi="宋体" w:cs="宋体"/>
          <w:b/>
          <w:bCs/>
          <w:sz w:val="28"/>
          <w:szCs w:val="28"/>
        </w:rPr>
      </w:pPr>
      <w:r>
        <w:rPr>
          <w:rFonts w:hint="eastAsia" w:ascii="宋体" w:hAnsi="宋体" w:cs="宋体"/>
          <w:b/>
          <w:bCs/>
          <w:sz w:val="28"/>
          <w:szCs w:val="28"/>
        </w:rPr>
        <w:t>投标人诚信承诺书</w:t>
      </w:r>
    </w:p>
    <w:p w14:paraId="68FDC958">
      <w:pPr>
        <w:widowControl/>
        <w:spacing w:line="360" w:lineRule="auto"/>
        <w:jc w:val="center"/>
        <w:rPr>
          <w:rFonts w:ascii="宋体" w:hAnsi="宋体" w:cs="宋体"/>
          <w:b/>
          <w:bCs/>
          <w:kern w:val="0"/>
          <w:sz w:val="24"/>
          <w:szCs w:val="24"/>
        </w:rPr>
      </w:pPr>
    </w:p>
    <w:p w14:paraId="699EFF9D">
      <w:pPr>
        <w:spacing w:line="360" w:lineRule="auto"/>
        <w:ind w:firstLine="420" w:firstLineChars="200"/>
        <w:rPr>
          <w:rFonts w:ascii="宋体" w:hAnsi="宋体" w:cs="宋体"/>
          <w:szCs w:val="22"/>
        </w:rPr>
      </w:pPr>
      <w:r>
        <w:rPr>
          <w:rFonts w:hint="eastAsia" w:ascii="宋体" w:hAnsi="宋体" w:cs="宋体"/>
          <w:szCs w:val="22"/>
        </w:rPr>
        <w:t>我单位参加本次投标，郑重承诺如下：</w:t>
      </w:r>
    </w:p>
    <w:p w14:paraId="321F4912">
      <w:pPr>
        <w:spacing w:line="360" w:lineRule="auto"/>
        <w:ind w:firstLine="420" w:firstLineChars="200"/>
        <w:rPr>
          <w:rFonts w:ascii="宋体" w:hAnsi="宋体" w:cs="宋体"/>
          <w:szCs w:val="22"/>
        </w:rPr>
      </w:pPr>
      <w:r>
        <w:rPr>
          <w:rFonts w:hint="eastAsia" w:ascii="宋体" w:hAnsi="宋体" w:cs="宋体"/>
          <w:szCs w:val="22"/>
        </w:rPr>
        <w:t>1. 本次投标提供的所有资料都是真实有效、准确完整的，如发现提供虚假资料或与事实不符，同意取消投标和中标候选人资格。</w:t>
      </w:r>
    </w:p>
    <w:p w14:paraId="31DB579D">
      <w:pPr>
        <w:spacing w:line="360" w:lineRule="auto"/>
        <w:ind w:firstLine="420" w:firstLineChars="200"/>
        <w:rPr>
          <w:rFonts w:ascii="宋体" w:hAnsi="宋体" w:cs="宋体"/>
          <w:szCs w:val="22"/>
        </w:rPr>
      </w:pPr>
      <w:r>
        <w:rPr>
          <w:rFonts w:hint="eastAsia" w:ascii="宋体" w:hAnsi="宋体" w:cs="宋体"/>
          <w:szCs w:val="22"/>
        </w:rPr>
        <w:t>2．本次投标绝无资质挂靠、串标、围标情形，若经查证属实，同意取消投标和中标候选人资格。</w:t>
      </w:r>
    </w:p>
    <w:p w14:paraId="303D9AB9">
      <w:pPr>
        <w:spacing w:line="360" w:lineRule="auto"/>
        <w:ind w:firstLine="420" w:firstLineChars="200"/>
        <w:rPr>
          <w:rFonts w:ascii="宋体" w:hAnsi="宋体" w:cs="宋体"/>
          <w:szCs w:val="22"/>
        </w:rPr>
      </w:pPr>
      <w:r>
        <w:rPr>
          <w:rFonts w:hint="eastAsia" w:ascii="宋体" w:hAnsi="宋体" w:cs="宋体"/>
          <w:szCs w:val="22"/>
        </w:rPr>
        <w:t>3、本次投标拟派项目人员均是我单位的正式员工，且满足</w:t>
      </w:r>
      <w:r>
        <w:rPr>
          <w:rFonts w:hint="eastAsia" w:ascii="宋体" w:hAnsi="宋体" w:cs="宋体"/>
          <w:szCs w:val="22"/>
          <w:lang w:val="en-US" w:eastAsia="zh-CN"/>
        </w:rPr>
        <w:t>遴选文件</w:t>
      </w:r>
      <w:r>
        <w:rPr>
          <w:rFonts w:hint="eastAsia" w:ascii="宋体" w:hAnsi="宋体" w:cs="宋体"/>
          <w:szCs w:val="22"/>
        </w:rPr>
        <w:t>要求中人员配置要求，如若后期发现人员及业务能力不属，同意取消投标和中标候选人资格。</w:t>
      </w:r>
    </w:p>
    <w:p w14:paraId="44DA1DF3">
      <w:pPr>
        <w:spacing w:line="360" w:lineRule="auto"/>
        <w:ind w:firstLine="420" w:firstLineChars="200"/>
        <w:rPr>
          <w:rFonts w:ascii="宋体" w:hAnsi="宋体" w:cs="宋体"/>
          <w:szCs w:val="22"/>
        </w:rPr>
      </w:pPr>
      <w:r>
        <w:rPr>
          <w:rFonts w:hint="eastAsia" w:ascii="宋体" w:hAnsi="宋体" w:cs="宋体"/>
          <w:szCs w:val="22"/>
        </w:rPr>
        <w:t>4．本次招标如我方为中标候选人，除不可抗力外（是指不能预见、不能避免并不能克服的客观情况，包括自然灾害和社会突发事件，如地震、海啸、瘟疫、水灾、骚乱、暴动、战争等），决不因任何其它原因放弃中标候选人资格。</w:t>
      </w:r>
    </w:p>
    <w:p w14:paraId="11DC9697">
      <w:pPr>
        <w:spacing w:line="360" w:lineRule="auto"/>
        <w:ind w:firstLine="420" w:firstLineChars="200"/>
        <w:rPr>
          <w:rFonts w:ascii="宋体" w:hAnsi="宋体" w:cs="宋体"/>
          <w:szCs w:val="22"/>
        </w:rPr>
      </w:pPr>
      <w:r>
        <w:rPr>
          <w:rFonts w:hint="eastAsia" w:ascii="宋体" w:hAnsi="宋体" w:cs="宋体"/>
          <w:szCs w:val="22"/>
        </w:rPr>
        <w:t>5、我方中标后，严格按照</w:t>
      </w:r>
      <w:r>
        <w:rPr>
          <w:rFonts w:hint="eastAsia" w:ascii="宋体" w:hAnsi="宋体" w:cs="宋体"/>
          <w:szCs w:val="22"/>
          <w:lang w:eastAsia="zh-CN"/>
        </w:rPr>
        <w:t>遴选文件</w:t>
      </w:r>
      <w:r>
        <w:rPr>
          <w:rFonts w:hint="eastAsia" w:ascii="宋体" w:hAnsi="宋体" w:cs="宋体"/>
          <w:szCs w:val="22"/>
        </w:rPr>
        <w:t>和我单位投标文件的约定签订合同。</w:t>
      </w:r>
    </w:p>
    <w:p w14:paraId="651BB667">
      <w:pPr>
        <w:spacing w:line="360" w:lineRule="auto"/>
        <w:ind w:firstLine="420" w:firstLineChars="200"/>
        <w:rPr>
          <w:rFonts w:ascii="宋体" w:hAnsi="宋体" w:cs="宋体"/>
          <w:szCs w:val="22"/>
        </w:rPr>
      </w:pPr>
      <w:r>
        <w:rPr>
          <w:rFonts w:hint="eastAsia" w:ascii="宋体" w:hAnsi="宋体" w:cs="宋体"/>
          <w:szCs w:val="22"/>
        </w:rPr>
        <w:t>6、我方若达不到招标公告投标人资格要求条件参与投标的，同意视为弄虚作假进行处理。</w:t>
      </w:r>
    </w:p>
    <w:p w14:paraId="56F2D30C">
      <w:pPr>
        <w:spacing w:line="360" w:lineRule="auto"/>
        <w:ind w:firstLine="420" w:firstLineChars="200"/>
        <w:rPr>
          <w:rFonts w:ascii="宋体" w:hAnsi="宋体" w:cs="宋体"/>
          <w:szCs w:val="22"/>
        </w:rPr>
      </w:pPr>
      <w:r>
        <w:rPr>
          <w:rFonts w:hint="eastAsia" w:ascii="宋体" w:hAnsi="宋体" w:cs="宋体"/>
          <w:szCs w:val="22"/>
        </w:rPr>
        <w:t>7、我方参加投标存在故意非实质性响应</w:t>
      </w:r>
      <w:r>
        <w:rPr>
          <w:rFonts w:hint="eastAsia" w:ascii="宋体" w:hAnsi="宋体" w:cs="宋体"/>
          <w:szCs w:val="22"/>
          <w:lang w:eastAsia="zh-CN"/>
        </w:rPr>
        <w:t>遴选文件</w:t>
      </w:r>
      <w:r>
        <w:rPr>
          <w:rFonts w:hint="eastAsia" w:ascii="宋体" w:hAnsi="宋体" w:cs="宋体"/>
          <w:szCs w:val="22"/>
        </w:rPr>
        <w:t>的（如投标报价高于或等于该项目最高投标限价等）同意视为串通投标进行处理。</w:t>
      </w:r>
    </w:p>
    <w:p w14:paraId="30F4E349">
      <w:pPr>
        <w:spacing w:line="360" w:lineRule="auto"/>
        <w:ind w:firstLine="420" w:firstLineChars="200"/>
        <w:rPr>
          <w:rFonts w:ascii="宋体" w:hAnsi="宋体" w:cs="宋体"/>
          <w:szCs w:val="22"/>
        </w:rPr>
      </w:pPr>
      <w:r>
        <w:rPr>
          <w:rFonts w:hint="eastAsia" w:ascii="宋体" w:hAnsi="宋体" w:cs="宋体"/>
          <w:szCs w:val="22"/>
        </w:rPr>
        <w:t>出现上述情形之一的，我方同意在1至3年内不参与贵单位活动，愿意接受处罚并承担所有经济损失和法律责任。</w:t>
      </w:r>
    </w:p>
    <w:p w14:paraId="184256E7">
      <w:pPr>
        <w:widowControl/>
        <w:spacing w:line="360" w:lineRule="auto"/>
        <w:ind w:firstLine="420"/>
        <w:rPr>
          <w:rFonts w:ascii="宋体" w:hAnsi="宋体" w:cs="宋体"/>
          <w:kern w:val="0"/>
          <w:szCs w:val="22"/>
        </w:rPr>
      </w:pPr>
    </w:p>
    <w:p w14:paraId="02C581D0">
      <w:pPr>
        <w:widowControl/>
        <w:spacing w:line="360" w:lineRule="auto"/>
        <w:ind w:right="55" w:firstLine="420"/>
        <w:jc w:val="right"/>
        <w:rPr>
          <w:rFonts w:ascii="宋体" w:hAnsi="宋体" w:cs="宋体"/>
          <w:kern w:val="0"/>
          <w:szCs w:val="22"/>
        </w:rPr>
      </w:pPr>
      <w:r>
        <w:rPr>
          <w:rFonts w:hint="eastAsia" w:ascii="宋体" w:hAnsi="宋体" w:cs="宋体"/>
          <w:kern w:val="0"/>
          <w:szCs w:val="22"/>
        </w:rPr>
        <w:t>投标人：</w:t>
      </w:r>
      <w:r>
        <w:rPr>
          <w:rFonts w:hint="eastAsia" w:ascii="宋体" w:hAnsi="宋体" w:cs="宋体"/>
          <w:kern w:val="0"/>
          <w:szCs w:val="22"/>
          <w:u w:val="single"/>
        </w:rPr>
        <w:t xml:space="preserve">                           </w:t>
      </w:r>
      <w:r>
        <w:rPr>
          <w:rFonts w:hint="eastAsia" w:ascii="宋体" w:hAnsi="宋体" w:cs="宋体"/>
          <w:kern w:val="0"/>
          <w:szCs w:val="22"/>
        </w:rPr>
        <w:t>（盖单位章）</w:t>
      </w:r>
    </w:p>
    <w:p w14:paraId="5871D985">
      <w:pPr>
        <w:widowControl/>
        <w:spacing w:line="360" w:lineRule="auto"/>
        <w:ind w:right="420" w:firstLine="420"/>
        <w:jc w:val="right"/>
        <w:rPr>
          <w:rFonts w:ascii="宋体" w:hAnsi="宋体" w:cs="宋体"/>
          <w:kern w:val="0"/>
          <w:szCs w:val="22"/>
        </w:rPr>
      </w:pPr>
      <w:r>
        <w:rPr>
          <w:rFonts w:hint="eastAsia" w:ascii="宋体" w:hAnsi="宋体" w:cs="宋体"/>
          <w:kern w:val="0"/>
          <w:szCs w:val="22"/>
        </w:rPr>
        <w:t>法定代表人或其委托代理人：</w:t>
      </w:r>
      <w:r>
        <w:rPr>
          <w:rFonts w:hint="eastAsia" w:ascii="宋体" w:hAnsi="宋体" w:cs="宋体"/>
          <w:kern w:val="0"/>
          <w:szCs w:val="22"/>
          <w:u w:val="single"/>
        </w:rPr>
        <w:t xml:space="preserve">          </w:t>
      </w:r>
      <w:r>
        <w:rPr>
          <w:rFonts w:hint="eastAsia" w:ascii="宋体" w:hAnsi="宋体" w:cs="宋体"/>
          <w:kern w:val="0"/>
          <w:szCs w:val="22"/>
        </w:rPr>
        <w:t>（签字或盖章）</w:t>
      </w:r>
    </w:p>
    <w:p w14:paraId="33319630">
      <w:pPr>
        <w:widowControl/>
        <w:spacing w:line="360" w:lineRule="auto"/>
        <w:ind w:firstLine="420"/>
        <w:jc w:val="center"/>
        <w:rPr>
          <w:rFonts w:ascii="宋体" w:hAnsi="宋体" w:cs="宋体"/>
          <w:kern w:val="0"/>
          <w:szCs w:val="22"/>
        </w:rPr>
      </w:pPr>
      <w:r>
        <w:rPr>
          <w:rFonts w:hint="eastAsia" w:ascii="宋体" w:hAnsi="宋体" w:cs="宋体"/>
          <w:kern w:val="0"/>
          <w:szCs w:val="22"/>
        </w:rPr>
        <w:t xml:space="preserve">                                  </w:t>
      </w:r>
    </w:p>
    <w:p w14:paraId="4A21BA4E">
      <w:pPr>
        <w:spacing w:line="360" w:lineRule="auto"/>
        <w:rPr>
          <w:rFonts w:ascii="宋体" w:hAnsi="宋体" w:cs="宋体"/>
          <w:szCs w:val="22"/>
        </w:rPr>
      </w:pPr>
      <w:r>
        <w:rPr>
          <w:rFonts w:hint="eastAsia" w:ascii="宋体" w:hAnsi="宋体" w:cs="宋体"/>
          <w:szCs w:val="22"/>
        </w:rPr>
        <w:t xml:space="preserve">                                                        年    月    日</w:t>
      </w:r>
    </w:p>
    <w:p w14:paraId="7868974E">
      <w:pPr>
        <w:spacing w:line="360" w:lineRule="auto"/>
        <w:rPr>
          <w:rFonts w:ascii="宋体" w:hAnsi="宋体" w:cs="宋体"/>
          <w:szCs w:val="22"/>
        </w:rPr>
      </w:pPr>
    </w:p>
    <w:p w14:paraId="3D59F7F2">
      <w:pPr>
        <w:spacing w:line="360" w:lineRule="auto"/>
        <w:rPr>
          <w:rFonts w:ascii="宋体" w:hAnsi="宋体" w:cs="宋体"/>
          <w:szCs w:val="22"/>
        </w:rPr>
      </w:pPr>
    </w:p>
    <w:p w14:paraId="5EB3D9EA">
      <w:pPr>
        <w:spacing w:line="360" w:lineRule="auto"/>
        <w:rPr>
          <w:rFonts w:ascii="宋体" w:hAnsi="宋体" w:cs="宋体"/>
          <w:szCs w:val="22"/>
        </w:rPr>
      </w:pPr>
    </w:p>
    <w:bookmarkEnd w:id="306"/>
    <w:p w14:paraId="6C57D2E1">
      <w:pPr>
        <w:spacing w:line="360" w:lineRule="auto"/>
        <w:jc w:val="center"/>
        <w:rPr>
          <w:rFonts w:hint="eastAsia" w:ascii="宋体" w:hAnsi="宋体" w:cs="宋体"/>
          <w:b/>
          <w:bCs/>
          <w:sz w:val="28"/>
          <w:szCs w:val="28"/>
        </w:rPr>
        <w:sectPr>
          <w:pgSz w:w="11906" w:h="16838"/>
          <w:pgMar w:top="1440" w:right="1800" w:bottom="1440" w:left="1800" w:header="851" w:footer="992" w:gutter="0"/>
          <w:pgNumType w:fmt="decimal"/>
          <w:cols w:space="425" w:num="1"/>
          <w:docGrid w:type="lines" w:linePitch="312" w:charSpace="0"/>
        </w:sectPr>
      </w:pPr>
    </w:p>
    <w:p w14:paraId="6D3451CC">
      <w:pPr>
        <w:spacing w:line="360" w:lineRule="auto"/>
        <w:jc w:val="center"/>
        <w:rPr>
          <w:rFonts w:ascii="宋体" w:hAnsi="宋体" w:eastAsia="宋体" w:cs="宋体"/>
          <w:b/>
          <w:bCs/>
          <w:kern w:val="0"/>
          <w:sz w:val="24"/>
          <w:szCs w:val="24"/>
          <w:lang w:val="zh-CN" w:eastAsia="zh-CN" w:bidi="zh-CN"/>
        </w:rPr>
      </w:pPr>
      <w:r>
        <w:rPr>
          <w:rFonts w:hint="eastAsia" w:ascii="宋体" w:hAnsi="宋体" w:cs="宋体"/>
          <w:b/>
          <w:bCs/>
          <w:kern w:val="0"/>
          <w:sz w:val="32"/>
          <w:szCs w:val="32"/>
          <w:lang w:val="zh-CN" w:eastAsia="zh-CN"/>
        </w:rPr>
        <w:t>三、无重大违法记录声明函、无不良信用记录声明函</w:t>
      </w:r>
    </w:p>
    <w:p w14:paraId="36D0D636">
      <w:pPr>
        <w:spacing w:before="120" w:beforeLines="50" w:after="120" w:afterLines="50" w:line="360" w:lineRule="auto"/>
        <w:rPr>
          <w:rFonts w:ascii="宋体" w:hAnsi="宋体" w:eastAsia="宋体" w:cs="Times New Roman"/>
          <w:b/>
          <w:szCs w:val="22"/>
        </w:rPr>
      </w:pPr>
      <w:r>
        <w:rPr>
          <w:rFonts w:ascii="宋体" w:hAnsi="宋体" w:eastAsia="宋体" w:cs="Times New Roman"/>
          <w:b/>
          <w:szCs w:val="22"/>
        </w:rPr>
        <w:t>(联合体参加投标的，联合体各方均须提供）</w:t>
      </w:r>
    </w:p>
    <w:p w14:paraId="22144895">
      <w:pPr>
        <w:pStyle w:val="32"/>
        <w:numPr>
          <w:ilvl w:val="0"/>
          <w:numId w:val="4"/>
        </w:numPr>
        <w:tabs>
          <w:tab w:val="left" w:pos="896"/>
        </w:tabs>
        <w:autoSpaceDE w:val="0"/>
        <w:autoSpaceDN w:val="0"/>
        <w:spacing w:before="158" w:line="360" w:lineRule="auto"/>
        <w:ind w:right="357" w:firstLine="434" w:firstLineChars="0"/>
        <w:rPr>
          <w:rFonts w:ascii="宋体" w:hAnsi="宋体"/>
          <w:szCs w:val="21"/>
        </w:rPr>
      </w:pPr>
      <w:r>
        <w:rPr>
          <w:rFonts w:ascii="宋体" w:hAnsi="宋体"/>
          <w:spacing w:val="-6"/>
          <w:szCs w:val="21"/>
        </w:rPr>
        <w:t>本单位郑重声明，根据《中华人民共和国政府采购法》及《中华人民共和</w:t>
      </w:r>
      <w:r>
        <w:rPr>
          <w:rFonts w:ascii="宋体" w:hAnsi="宋体"/>
          <w:spacing w:val="-7"/>
          <w:szCs w:val="21"/>
        </w:rPr>
        <w:t>国政府采购法实施条例》的规定，参加政府采购活动前三年内，本单位在经营活</w:t>
      </w:r>
      <w:r>
        <w:rPr>
          <w:rFonts w:ascii="宋体" w:hAnsi="宋体"/>
          <w:spacing w:val="-8"/>
          <w:szCs w:val="21"/>
        </w:rPr>
        <w:t>动中没有重大违法记录，没有因违法经营受到刑事处罚或者责令停产停业、吊销</w:t>
      </w:r>
      <w:r>
        <w:rPr>
          <w:rFonts w:ascii="宋体" w:hAnsi="宋体"/>
          <w:spacing w:val="-10"/>
          <w:szCs w:val="21"/>
        </w:rPr>
        <w:t>许可证或者执照、较大数额罚款等行政处罚，且未在被禁止参加政府采购活动的</w:t>
      </w:r>
      <w:r>
        <w:rPr>
          <w:rFonts w:ascii="宋体" w:hAnsi="宋体"/>
          <w:szCs w:val="21"/>
        </w:rPr>
        <w:t>处罚期限内。</w:t>
      </w:r>
    </w:p>
    <w:p w14:paraId="442713BA">
      <w:pPr>
        <w:pStyle w:val="32"/>
        <w:numPr>
          <w:ilvl w:val="0"/>
          <w:numId w:val="4"/>
        </w:numPr>
        <w:tabs>
          <w:tab w:val="left" w:pos="896"/>
        </w:tabs>
        <w:autoSpaceDE w:val="0"/>
        <w:autoSpaceDN w:val="0"/>
        <w:spacing w:before="4" w:line="360" w:lineRule="auto"/>
        <w:ind w:left="895" w:hanging="242" w:firstLineChars="0"/>
        <w:rPr>
          <w:rFonts w:ascii="宋体" w:hAnsi="宋体"/>
          <w:szCs w:val="21"/>
        </w:rPr>
      </w:pPr>
      <w:r>
        <w:rPr>
          <w:rFonts w:ascii="宋体" w:hAnsi="宋体"/>
          <w:szCs w:val="21"/>
        </w:rPr>
        <w:t>本单位郑重声明，我单位无以下不良信用记录情形：</w:t>
      </w:r>
    </w:p>
    <w:p w14:paraId="77B12B3C">
      <w:pPr>
        <w:pStyle w:val="32"/>
        <w:numPr>
          <w:ilvl w:val="0"/>
          <w:numId w:val="5"/>
        </w:numPr>
        <w:tabs>
          <w:tab w:val="left" w:pos="1256"/>
        </w:tabs>
        <w:autoSpaceDE w:val="0"/>
        <w:autoSpaceDN w:val="0"/>
        <w:spacing w:before="160" w:line="360" w:lineRule="auto"/>
        <w:ind w:hanging="602" w:firstLineChars="0"/>
        <w:rPr>
          <w:rFonts w:ascii="宋体" w:hAnsi="宋体"/>
          <w:szCs w:val="21"/>
        </w:rPr>
      </w:pPr>
      <w:r>
        <w:rPr>
          <w:rFonts w:ascii="宋体" w:hAnsi="宋体"/>
          <w:szCs w:val="21"/>
        </w:rPr>
        <w:t>被人民法院列入失信被执行人；</w:t>
      </w:r>
    </w:p>
    <w:p w14:paraId="6D07B220">
      <w:pPr>
        <w:pStyle w:val="32"/>
        <w:numPr>
          <w:ilvl w:val="0"/>
          <w:numId w:val="5"/>
        </w:numPr>
        <w:tabs>
          <w:tab w:val="left" w:pos="1256"/>
        </w:tabs>
        <w:autoSpaceDE w:val="0"/>
        <w:autoSpaceDN w:val="0"/>
        <w:spacing w:before="160" w:line="360" w:lineRule="auto"/>
        <w:ind w:hanging="602" w:firstLineChars="0"/>
        <w:rPr>
          <w:rFonts w:ascii="宋体" w:hAnsi="宋体"/>
          <w:szCs w:val="21"/>
        </w:rPr>
      </w:pPr>
      <w:r>
        <w:rPr>
          <w:rFonts w:ascii="宋体" w:hAnsi="宋体"/>
          <w:szCs w:val="21"/>
        </w:rPr>
        <w:t>被税务部门列入重大税收违法案件当事人名单；</w:t>
      </w:r>
    </w:p>
    <w:p w14:paraId="00339D10">
      <w:pPr>
        <w:pStyle w:val="32"/>
        <w:numPr>
          <w:ilvl w:val="0"/>
          <w:numId w:val="5"/>
        </w:numPr>
        <w:tabs>
          <w:tab w:val="left" w:pos="1256"/>
          <w:tab w:val="left" w:pos="6415"/>
        </w:tabs>
        <w:autoSpaceDE w:val="0"/>
        <w:autoSpaceDN w:val="0"/>
        <w:spacing w:before="161" w:line="360" w:lineRule="auto"/>
        <w:ind w:left="654" w:right="908" w:firstLine="0" w:firstLineChars="0"/>
        <w:rPr>
          <w:rFonts w:ascii="宋体" w:hAnsi="宋体"/>
          <w:szCs w:val="21"/>
        </w:rPr>
      </w:pPr>
      <w:r>
        <w:rPr>
          <w:rFonts w:ascii="宋体" w:hAnsi="宋体"/>
          <w:szCs w:val="21"/>
        </w:rPr>
        <w:t>被政府采购监管部门列入政府采购严重违法失信行为记录名单</w:t>
      </w:r>
      <w:r>
        <w:rPr>
          <w:rFonts w:ascii="宋体" w:hAnsi="宋体"/>
          <w:spacing w:val="-17"/>
          <w:szCs w:val="21"/>
        </w:rPr>
        <w:t>。</w:t>
      </w:r>
    </w:p>
    <w:p w14:paraId="7E633520">
      <w:pPr>
        <w:widowControl w:val="0"/>
        <w:autoSpaceDE w:val="0"/>
        <w:autoSpaceDN w:val="0"/>
        <w:spacing w:line="360" w:lineRule="auto"/>
        <w:ind w:left="0"/>
        <w:jc w:val="left"/>
        <w:rPr>
          <w:rFonts w:ascii="宋体" w:hAnsi="宋体" w:eastAsia="宋体" w:cs="宋体"/>
          <w:kern w:val="0"/>
          <w:sz w:val="21"/>
          <w:szCs w:val="21"/>
          <w:lang w:val="en-US" w:eastAsia="zh-CN" w:bidi="zh-CN"/>
        </w:rPr>
      </w:pPr>
    </w:p>
    <w:p w14:paraId="420B355E">
      <w:pPr>
        <w:widowControl w:val="0"/>
        <w:autoSpaceDE w:val="0"/>
        <w:autoSpaceDN w:val="0"/>
        <w:spacing w:before="213" w:line="360" w:lineRule="auto"/>
        <w:ind w:left="654"/>
        <w:jc w:val="left"/>
        <w:rPr>
          <w:rFonts w:ascii="宋体" w:hAnsi="宋体" w:eastAsia="宋体" w:cs="宋体"/>
          <w:kern w:val="0"/>
          <w:sz w:val="21"/>
          <w:szCs w:val="21"/>
          <w:lang w:val="zh-CN" w:eastAsia="zh-CN" w:bidi="zh-CN"/>
        </w:rPr>
      </w:pPr>
      <w:r>
        <w:rPr>
          <w:rFonts w:ascii="宋体" w:hAnsi="宋体" w:eastAsia="宋体" w:cs="宋体"/>
          <w:kern w:val="0"/>
          <w:sz w:val="21"/>
          <w:szCs w:val="21"/>
          <w:lang w:val="zh-CN" w:eastAsia="zh-CN" w:bidi="zh-CN"/>
        </w:rPr>
        <w:t>本单位对上述声明的真实性负责。如有虚假，将依法承担相应责任。</w:t>
      </w:r>
    </w:p>
    <w:p w14:paraId="2F60E4FD">
      <w:pPr>
        <w:widowControl w:val="0"/>
        <w:autoSpaceDE w:val="0"/>
        <w:autoSpaceDN w:val="0"/>
        <w:spacing w:before="213" w:line="360" w:lineRule="auto"/>
        <w:ind w:left="654"/>
        <w:jc w:val="left"/>
        <w:rPr>
          <w:rFonts w:ascii="宋体" w:hAnsi="宋体" w:eastAsia="宋体" w:cs="宋体"/>
          <w:kern w:val="0"/>
          <w:sz w:val="21"/>
          <w:szCs w:val="21"/>
          <w:lang w:val="zh-CN" w:eastAsia="zh-CN" w:bidi="zh-CN"/>
        </w:rPr>
      </w:pPr>
    </w:p>
    <w:p w14:paraId="6983298C">
      <w:pPr>
        <w:spacing w:line="360" w:lineRule="auto"/>
        <w:jc w:val="center"/>
        <w:rPr>
          <w:rFonts w:ascii="宋体" w:hAnsi="宋体" w:eastAsia="宋体" w:cs="宋体"/>
          <w:kern w:val="0"/>
          <w:sz w:val="21"/>
          <w:szCs w:val="21"/>
          <w:u w:val="single"/>
          <w:lang w:val="zh-CN" w:eastAsia="zh-CN" w:bidi="zh-CN"/>
        </w:rPr>
      </w:pPr>
      <w:r>
        <w:rPr>
          <w:rFonts w:ascii="宋体" w:hAnsi="宋体" w:eastAsia="宋体" w:cs="宋体"/>
          <w:kern w:val="0"/>
          <w:sz w:val="21"/>
          <w:szCs w:val="21"/>
          <w:lang w:val="zh-CN" w:eastAsia="zh-CN" w:bidi="zh-CN"/>
        </w:rPr>
        <w:t>投标人</w:t>
      </w:r>
      <w:r>
        <w:rPr>
          <w:rFonts w:hint="eastAsia" w:ascii="宋体" w:hAnsi="宋体" w:eastAsia="宋体" w:cs="宋体"/>
          <w:kern w:val="0"/>
          <w:sz w:val="21"/>
          <w:szCs w:val="21"/>
          <w:lang w:val="en-US" w:eastAsia="zh-CN" w:bidi="zh-CN"/>
        </w:rPr>
        <w:t>公</w:t>
      </w:r>
      <w:r>
        <w:rPr>
          <w:rFonts w:ascii="宋体" w:hAnsi="宋体" w:eastAsia="宋体" w:cs="宋体"/>
          <w:kern w:val="0"/>
          <w:sz w:val="21"/>
          <w:szCs w:val="21"/>
          <w:lang w:val="zh-CN" w:eastAsia="zh-CN" w:bidi="zh-CN"/>
        </w:rPr>
        <w:t>章：</w:t>
      </w:r>
      <w:r>
        <w:rPr>
          <w:rFonts w:ascii="宋体" w:hAnsi="宋体" w:eastAsia="宋体" w:cs="宋体"/>
          <w:kern w:val="0"/>
          <w:sz w:val="21"/>
          <w:szCs w:val="21"/>
          <w:u w:val="single"/>
          <w:lang w:val="zh-CN" w:eastAsia="zh-CN" w:bidi="zh-CN"/>
        </w:rPr>
        <w:t xml:space="preserve"> </w:t>
      </w:r>
      <w:r>
        <w:rPr>
          <w:rFonts w:ascii="宋体" w:hAnsi="宋体" w:eastAsia="宋体" w:cs="宋体"/>
          <w:kern w:val="0"/>
          <w:sz w:val="21"/>
          <w:szCs w:val="21"/>
          <w:u w:val="single"/>
          <w:lang w:val="zh-CN" w:eastAsia="zh-CN" w:bidi="zh-CN"/>
        </w:rPr>
        <w:tab/>
      </w:r>
      <w:r>
        <w:rPr>
          <w:rFonts w:ascii="宋体" w:hAnsi="宋体" w:eastAsia="宋体" w:cs="宋体"/>
          <w:kern w:val="0"/>
          <w:sz w:val="21"/>
          <w:szCs w:val="21"/>
          <w:u w:val="single"/>
          <w:lang w:val="zh-CN" w:eastAsia="zh-CN" w:bidi="zh-CN"/>
        </w:rPr>
        <w:t xml:space="preserve"> </w:t>
      </w:r>
    </w:p>
    <w:p w14:paraId="7D68BAD2">
      <w:pPr>
        <w:spacing w:line="360" w:lineRule="auto"/>
        <w:jc w:val="center"/>
        <w:rPr>
          <w:rFonts w:ascii="宋体" w:hAnsi="宋体" w:eastAsia="宋体" w:cs="宋体"/>
          <w:kern w:val="0"/>
          <w:sz w:val="21"/>
          <w:szCs w:val="21"/>
          <w:lang w:val="zh-CN" w:eastAsia="zh-CN" w:bidi="zh-CN"/>
        </w:rPr>
      </w:pPr>
      <w:r>
        <w:rPr>
          <w:rFonts w:hint="eastAsia" w:ascii="宋体" w:hAnsi="宋体" w:cs="宋体"/>
          <w:kern w:val="0"/>
          <w:sz w:val="21"/>
          <w:szCs w:val="21"/>
          <w:lang w:val="en-US" w:eastAsia="zh-CN" w:bidi="zh-CN"/>
        </w:rPr>
        <w:t xml:space="preserve">                                </w:t>
      </w:r>
      <w:r>
        <w:rPr>
          <w:rFonts w:hint="eastAsia" w:ascii="宋体" w:hAnsi="宋体" w:eastAsia="宋体" w:cs="宋体"/>
          <w:kern w:val="0"/>
          <w:sz w:val="21"/>
          <w:szCs w:val="21"/>
          <w:lang w:val="zh-CN" w:eastAsia="zh-CN" w:bidi="zh-CN"/>
        </w:rPr>
        <w:t>法定代表人或其委托代理人：          （签字或盖章）</w:t>
      </w:r>
    </w:p>
    <w:p w14:paraId="5EF10840">
      <w:pPr>
        <w:spacing w:line="360" w:lineRule="auto"/>
        <w:jc w:val="center"/>
        <w:rPr>
          <w:rFonts w:hint="eastAsia" w:ascii="宋体" w:hAnsi="宋体" w:cs="宋体"/>
          <w:b/>
          <w:bCs/>
          <w:sz w:val="28"/>
          <w:szCs w:val="28"/>
        </w:rPr>
        <w:sectPr>
          <w:pgSz w:w="11906" w:h="16838"/>
          <w:pgMar w:top="1440" w:right="1800" w:bottom="1440" w:left="1800" w:header="851" w:footer="992" w:gutter="0"/>
          <w:pgNumType w:fmt="decimal"/>
          <w:cols w:space="425" w:num="1"/>
          <w:docGrid w:type="lines" w:linePitch="312" w:charSpace="0"/>
        </w:sectPr>
      </w:pPr>
      <w:r>
        <w:rPr>
          <w:rFonts w:ascii="宋体" w:hAnsi="宋体" w:eastAsia="宋体" w:cs="宋体"/>
          <w:kern w:val="0"/>
          <w:sz w:val="21"/>
          <w:szCs w:val="21"/>
          <w:lang w:val="zh-CN" w:eastAsia="zh-CN" w:bidi="zh-CN"/>
        </w:rPr>
        <w:t>日</w:t>
      </w:r>
      <w:r>
        <w:rPr>
          <w:rFonts w:ascii="宋体" w:hAnsi="宋体" w:eastAsia="宋体" w:cs="宋体"/>
          <w:kern w:val="0"/>
          <w:sz w:val="21"/>
          <w:szCs w:val="21"/>
          <w:lang w:val="zh-CN" w:eastAsia="zh-CN" w:bidi="zh-CN"/>
        </w:rPr>
        <w:tab/>
      </w:r>
      <w:r>
        <w:rPr>
          <w:rFonts w:ascii="宋体" w:hAnsi="宋体" w:eastAsia="宋体" w:cs="宋体"/>
          <w:kern w:val="0"/>
          <w:sz w:val="21"/>
          <w:szCs w:val="21"/>
          <w:lang w:val="zh-CN" w:eastAsia="zh-CN" w:bidi="zh-CN"/>
        </w:rPr>
        <w:t>期：</w:t>
      </w:r>
      <w:r>
        <w:rPr>
          <w:rFonts w:ascii="宋体" w:hAnsi="宋体" w:eastAsia="宋体" w:cs="宋体"/>
          <w:kern w:val="0"/>
          <w:sz w:val="21"/>
          <w:szCs w:val="21"/>
          <w:u w:val="single"/>
          <w:lang w:val="zh-CN" w:eastAsia="zh-CN" w:bidi="zh-CN"/>
        </w:rPr>
        <w:t xml:space="preserve"> </w:t>
      </w:r>
      <w:r>
        <w:rPr>
          <w:rFonts w:hint="eastAsia" w:ascii="宋体" w:hAnsi="宋体" w:eastAsia="宋体" w:cs="宋体"/>
          <w:kern w:val="0"/>
          <w:sz w:val="21"/>
          <w:szCs w:val="21"/>
          <w:u w:val="single"/>
          <w:lang w:val="en-US" w:eastAsia="zh-CN" w:bidi="zh-CN"/>
        </w:rPr>
        <w:t xml:space="preserve">  </w:t>
      </w:r>
      <w:r>
        <w:rPr>
          <w:rFonts w:ascii="宋体" w:hAnsi="宋体" w:eastAsia="宋体" w:cs="宋体"/>
          <w:kern w:val="0"/>
          <w:sz w:val="21"/>
          <w:szCs w:val="21"/>
          <w:u w:val="single"/>
          <w:lang w:val="zh-CN" w:eastAsia="zh-CN" w:bidi="zh-CN"/>
        </w:rPr>
        <w:tab/>
      </w:r>
    </w:p>
    <w:p w14:paraId="2F9923F1">
      <w:pPr>
        <w:spacing w:line="360" w:lineRule="auto"/>
        <w:jc w:val="center"/>
        <w:rPr>
          <w:rFonts w:ascii="宋体" w:hAnsi="宋体" w:cs="宋体"/>
          <w:b/>
          <w:bCs/>
          <w:sz w:val="28"/>
          <w:szCs w:val="28"/>
        </w:rPr>
      </w:pPr>
      <w:r>
        <w:rPr>
          <w:rFonts w:hint="eastAsia" w:ascii="宋体" w:hAnsi="宋体" w:cs="宋体"/>
          <w:b/>
          <w:bCs/>
          <w:sz w:val="28"/>
          <w:szCs w:val="28"/>
          <w:lang w:val="en-US" w:eastAsia="zh-CN"/>
        </w:rPr>
        <w:t>四</w:t>
      </w:r>
      <w:r>
        <w:rPr>
          <w:rFonts w:hint="eastAsia" w:ascii="宋体" w:hAnsi="宋体" w:cs="宋体"/>
          <w:b/>
          <w:bCs/>
          <w:sz w:val="28"/>
          <w:szCs w:val="28"/>
        </w:rPr>
        <w:t>、法定代表人身份证明书</w:t>
      </w:r>
    </w:p>
    <w:p w14:paraId="7573CC6F">
      <w:pPr>
        <w:spacing w:line="360" w:lineRule="auto"/>
        <w:rPr>
          <w:rFonts w:ascii="宋体" w:hAnsi="宋体" w:cs="宋体"/>
        </w:rPr>
      </w:pPr>
    </w:p>
    <w:p w14:paraId="410EDCF9">
      <w:pPr>
        <w:spacing w:line="360" w:lineRule="auto"/>
        <w:ind w:firstLine="420" w:firstLineChars="200"/>
        <w:rPr>
          <w:rFonts w:hint="eastAsia" w:ascii="宋体" w:hAnsi="宋体" w:eastAsia="宋体" w:cs="宋体"/>
          <w:u w:val="single"/>
          <w:lang w:eastAsia="zh-CN"/>
        </w:rPr>
      </w:pPr>
      <w:r>
        <w:rPr>
          <w:rFonts w:hint="eastAsia" w:ascii="宋体" w:hAnsi="宋体" w:cs="宋体"/>
        </w:rPr>
        <w:t>投标人名称</w:t>
      </w:r>
      <w:r>
        <w:rPr>
          <w:rFonts w:hint="eastAsia" w:ascii="宋体" w:hAnsi="宋体" w:cs="宋体"/>
          <w:u w:val="single"/>
        </w:rPr>
        <w:t xml:space="preserve">                                                </w:t>
      </w:r>
      <w:r>
        <w:rPr>
          <w:rFonts w:hint="eastAsia" w:ascii="宋体" w:hAnsi="宋体" w:cs="宋体"/>
          <w:u w:val="none"/>
          <w:lang w:eastAsia="zh-CN"/>
        </w:rPr>
        <w:t>；</w:t>
      </w:r>
    </w:p>
    <w:p w14:paraId="3F3E632C">
      <w:pPr>
        <w:spacing w:line="360" w:lineRule="auto"/>
        <w:ind w:firstLine="420" w:firstLineChars="200"/>
        <w:rPr>
          <w:rFonts w:hint="eastAsia" w:ascii="宋体" w:hAnsi="宋体" w:eastAsia="宋体" w:cs="宋体"/>
          <w:u w:val="single"/>
          <w:lang w:eastAsia="zh-CN"/>
        </w:rPr>
      </w:pPr>
      <w:r>
        <w:rPr>
          <w:rFonts w:hint="eastAsia" w:ascii="宋体" w:hAnsi="宋体" w:cs="宋体"/>
        </w:rPr>
        <w:t>单位性质</w:t>
      </w:r>
      <w:r>
        <w:rPr>
          <w:rFonts w:hint="eastAsia" w:ascii="宋体" w:hAnsi="宋体" w:cs="宋体"/>
          <w:u w:val="single"/>
        </w:rPr>
        <w:t xml:space="preserve">                                                  </w:t>
      </w:r>
      <w:r>
        <w:rPr>
          <w:rFonts w:hint="eastAsia" w:ascii="宋体" w:hAnsi="宋体" w:cs="宋体"/>
          <w:u w:val="none"/>
          <w:lang w:eastAsia="zh-CN"/>
        </w:rPr>
        <w:t>；</w:t>
      </w:r>
    </w:p>
    <w:p w14:paraId="37EC7475">
      <w:pPr>
        <w:spacing w:line="360" w:lineRule="auto"/>
        <w:ind w:firstLine="420" w:firstLineChars="200"/>
        <w:rPr>
          <w:rFonts w:hint="eastAsia" w:ascii="宋体" w:hAnsi="宋体" w:eastAsia="宋体" w:cs="宋体"/>
          <w:u w:val="single"/>
          <w:lang w:eastAsia="zh-CN"/>
        </w:rPr>
      </w:pPr>
      <w:r>
        <w:rPr>
          <w:rFonts w:hint="eastAsia" w:ascii="宋体" w:hAnsi="宋体" w:cs="宋体"/>
        </w:rPr>
        <w:t>地址</w:t>
      </w:r>
      <w:r>
        <w:rPr>
          <w:rFonts w:hint="eastAsia" w:ascii="宋体" w:hAnsi="宋体" w:cs="宋体"/>
          <w:u w:val="single"/>
        </w:rPr>
        <w:t xml:space="preserve">                                                      </w:t>
      </w:r>
      <w:r>
        <w:rPr>
          <w:rFonts w:hint="eastAsia" w:ascii="宋体" w:hAnsi="宋体" w:cs="宋体"/>
          <w:u w:val="none"/>
          <w:lang w:eastAsia="zh-CN"/>
        </w:rPr>
        <w:t>；</w:t>
      </w:r>
    </w:p>
    <w:p w14:paraId="694CBB0C">
      <w:pPr>
        <w:spacing w:line="360" w:lineRule="auto"/>
        <w:ind w:firstLine="420" w:firstLineChars="200"/>
        <w:rPr>
          <w:rFonts w:ascii="宋体" w:hAnsi="宋体" w:cs="宋体"/>
        </w:rPr>
      </w:pPr>
      <w:r>
        <w:rPr>
          <w:rFonts w:hint="eastAsia" w:ascii="宋体" w:hAnsi="宋体" w:cs="宋体"/>
        </w:rPr>
        <w:t>成立时间：</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lang w:val="en-US" w:eastAsia="zh-CN"/>
        </w:rPr>
        <w:t xml:space="preserve">      </w:t>
      </w:r>
      <w:r>
        <w:rPr>
          <w:rFonts w:hint="eastAsia" w:ascii="宋体" w:hAnsi="宋体" w:cs="宋体"/>
        </w:rPr>
        <w:t>日</w:t>
      </w:r>
    </w:p>
    <w:p w14:paraId="47AA4714">
      <w:pPr>
        <w:spacing w:line="360" w:lineRule="auto"/>
        <w:ind w:firstLine="420" w:firstLineChars="200"/>
        <w:rPr>
          <w:rFonts w:hint="eastAsia" w:ascii="宋体" w:hAnsi="宋体" w:eastAsia="宋体" w:cs="宋体"/>
          <w:lang w:eastAsia="zh-CN"/>
        </w:rPr>
      </w:pPr>
      <w:r>
        <w:rPr>
          <w:rFonts w:hint="eastAsia" w:ascii="宋体" w:hAnsi="宋体" w:cs="宋体"/>
        </w:rPr>
        <w:t>经营期限</w:t>
      </w:r>
      <w:r>
        <w:rPr>
          <w:rFonts w:hint="eastAsia" w:ascii="宋体" w:hAnsi="宋体" w:cs="宋体"/>
          <w:u w:val="single"/>
        </w:rPr>
        <w:t xml:space="preserve">                                                        </w:t>
      </w:r>
      <w:r>
        <w:rPr>
          <w:rFonts w:hint="eastAsia" w:ascii="宋体" w:hAnsi="宋体" w:cs="宋体"/>
          <w:lang w:eastAsia="zh-CN"/>
        </w:rPr>
        <w:t>；</w:t>
      </w:r>
    </w:p>
    <w:p w14:paraId="700F96EC">
      <w:pPr>
        <w:spacing w:line="360" w:lineRule="auto"/>
        <w:ind w:firstLine="420" w:firstLineChars="200"/>
        <w:rPr>
          <w:rFonts w:ascii="宋体" w:hAnsi="宋体" w:cs="宋体"/>
        </w:rPr>
      </w:pPr>
      <w:r>
        <w:rPr>
          <w:rFonts w:hint="eastAsia" w:ascii="宋体" w:hAnsi="宋体" w:cs="宋体"/>
        </w:rPr>
        <w:t>姓名：</w:t>
      </w:r>
      <w:r>
        <w:rPr>
          <w:rFonts w:hint="eastAsia" w:ascii="宋体" w:hAnsi="宋体" w:cs="宋体"/>
          <w:u w:val="single"/>
        </w:rPr>
        <w:t xml:space="preserve">         </w:t>
      </w:r>
      <w:r>
        <w:rPr>
          <w:rFonts w:hint="eastAsia" w:ascii="宋体" w:hAnsi="宋体" w:cs="宋体"/>
        </w:rPr>
        <w:t>性别：</w:t>
      </w:r>
      <w:r>
        <w:rPr>
          <w:rFonts w:hint="eastAsia" w:ascii="宋体" w:hAnsi="宋体" w:cs="宋体"/>
          <w:u w:val="single"/>
        </w:rPr>
        <w:t xml:space="preserve">        </w:t>
      </w:r>
      <w:r>
        <w:rPr>
          <w:rFonts w:hint="eastAsia" w:ascii="宋体" w:hAnsi="宋体" w:cs="宋体"/>
        </w:rPr>
        <w:t>年龄：</w:t>
      </w:r>
      <w:r>
        <w:rPr>
          <w:rFonts w:hint="eastAsia" w:ascii="宋体" w:hAnsi="宋体" w:cs="宋体"/>
          <w:u w:val="single"/>
        </w:rPr>
        <w:t xml:space="preserve">       </w:t>
      </w:r>
      <w:r>
        <w:rPr>
          <w:rFonts w:hint="eastAsia" w:ascii="宋体" w:hAnsi="宋体" w:cs="宋体"/>
        </w:rPr>
        <w:t>职务：</w:t>
      </w:r>
      <w:r>
        <w:rPr>
          <w:rFonts w:hint="eastAsia" w:ascii="宋体" w:hAnsi="宋体" w:cs="宋体"/>
          <w:u w:val="single"/>
        </w:rPr>
        <w:t xml:space="preserve">       </w:t>
      </w:r>
      <w:r>
        <w:rPr>
          <w:rFonts w:hint="eastAsia" w:ascii="宋体" w:hAnsi="宋体" w:cs="宋体"/>
        </w:rPr>
        <w:t>_</w:t>
      </w:r>
    </w:p>
    <w:p w14:paraId="3F33AA98">
      <w:pPr>
        <w:spacing w:line="360" w:lineRule="auto"/>
        <w:ind w:firstLine="420" w:firstLineChars="200"/>
        <w:rPr>
          <w:rFonts w:ascii="宋体" w:hAnsi="宋体" w:cs="宋体"/>
        </w:rPr>
      </w:pPr>
      <w:r>
        <w:rPr>
          <w:rFonts w:hint="eastAsia" w:ascii="宋体" w:hAnsi="宋体" w:cs="宋体"/>
        </w:rPr>
        <w:t>系</w:t>
      </w:r>
      <w:r>
        <w:rPr>
          <w:rFonts w:hint="eastAsia" w:ascii="宋体" w:hAnsi="宋体" w:cs="宋体"/>
          <w:u w:val="single"/>
        </w:rPr>
        <w:t xml:space="preserve">                                </w:t>
      </w:r>
      <w:r>
        <w:rPr>
          <w:rFonts w:hint="eastAsia" w:ascii="宋体" w:hAnsi="宋体" w:cs="宋体"/>
        </w:rPr>
        <w:t>（投标人名称）的法定代表人。</w:t>
      </w:r>
    </w:p>
    <w:p w14:paraId="5C7B84EF">
      <w:pPr>
        <w:spacing w:line="360" w:lineRule="auto"/>
        <w:ind w:firstLine="840" w:firstLineChars="400"/>
        <w:rPr>
          <w:rFonts w:ascii="宋体" w:hAnsi="宋体" w:cs="宋体"/>
        </w:rPr>
      </w:pPr>
      <w:r>
        <w:rPr>
          <w:rFonts w:hint="eastAsia" w:ascii="宋体" w:hAnsi="宋体" w:cs="宋体"/>
        </w:rPr>
        <w:t>特此证明。</w:t>
      </w:r>
    </w:p>
    <w:p w14:paraId="01CBAA66">
      <w:pPr>
        <w:spacing w:line="360" w:lineRule="auto"/>
        <w:ind w:firstLine="420" w:firstLineChars="200"/>
        <w:rPr>
          <w:rFonts w:ascii="宋体" w:hAnsi="宋体" w:cs="宋体"/>
        </w:rPr>
      </w:pPr>
      <w:r>
        <w:rPr>
          <w:rFonts w:hint="eastAsia" w:ascii="宋体" w:hAnsi="宋体" w:cs="宋体"/>
        </w:rPr>
        <w:t>附：法定代表人身份证复印件（正反面，加盖单位公章）</w:t>
      </w:r>
    </w:p>
    <w:p w14:paraId="44A8A270">
      <w:pPr>
        <w:spacing w:line="360" w:lineRule="auto"/>
        <w:ind w:firstLine="840" w:firstLineChars="400"/>
        <w:rPr>
          <w:rFonts w:ascii="宋体" w:hAnsi="宋体" w:cs="宋体"/>
        </w:rPr>
      </w:pPr>
    </w:p>
    <w:p w14:paraId="4BF4B18B">
      <w:pPr>
        <w:spacing w:line="360" w:lineRule="auto"/>
        <w:ind w:firstLine="420" w:firstLineChars="200"/>
        <w:rPr>
          <w:rFonts w:ascii="宋体" w:hAnsi="宋体" w:cs="宋体"/>
        </w:rPr>
      </w:pPr>
    </w:p>
    <w:p w14:paraId="6E699E01">
      <w:pPr>
        <w:spacing w:line="360" w:lineRule="auto"/>
        <w:rPr>
          <w:rFonts w:ascii="宋体" w:hAnsi="宋体" w:cs="宋体"/>
        </w:rPr>
      </w:pPr>
    </w:p>
    <w:p w14:paraId="11357C08">
      <w:pPr>
        <w:spacing w:line="360" w:lineRule="auto"/>
        <w:ind w:firstLine="420" w:firstLineChars="200"/>
        <w:rPr>
          <w:rFonts w:ascii="宋体" w:hAnsi="宋体" w:cs="宋体"/>
        </w:rPr>
      </w:pPr>
    </w:p>
    <w:p w14:paraId="0DDAF4BB">
      <w:pPr>
        <w:spacing w:line="360" w:lineRule="auto"/>
        <w:ind w:firstLine="3675" w:firstLineChars="1750"/>
        <w:rPr>
          <w:rFonts w:hint="eastAsia" w:ascii="宋体" w:hAnsi="宋体" w:cs="宋体"/>
        </w:rPr>
      </w:pPr>
      <w:r>
        <w:rPr>
          <w:rFonts w:hint="eastAsia" w:ascii="宋体" w:hAnsi="宋体" w:cs="宋体"/>
        </w:rPr>
        <w:t>投标人：</w:t>
      </w:r>
      <w:r>
        <w:rPr>
          <w:rFonts w:hint="eastAsia" w:ascii="宋体" w:hAnsi="宋体" w:cs="宋体"/>
          <w:u w:val="single"/>
        </w:rPr>
        <w:t xml:space="preserve">                      </w:t>
      </w:r>
      <w:r>
        <w:rPr>
          <w:rFonts w:hint="eastAsia" w:ascii="宋体" w:hAnsi="宋体" w:cs="宋体"/>
        </w:rPr>
        <w:t>（盖单位章）</w:t>
      </w:r>
    </w:p>
    <w:p w14:paraId="07F84F13">
      <w:pPr>
        <w:spacing w:line="360" w:lineRule="auto"/>
        <w:ind w:firstLine="3675" w:firstLineChars="1750"/>
        <w:rPr>
          <w:rFonts w:hint="eastAsia" w:ascii="宋体" w:hAnsi="宋体" w:cs="宋体"/>
        </w:rPr>
      </w:pPr>
      <w:r>
        <w:rPr>
          <w:rFonts w:hint="eastAsia" w:ascii="宋体" w:hAnsi="宋体" w:cs="宋体"/>
        </w:rPr>
        <w:t>法定代表人：          （签字或盖章）</w:t>
      </w:r>
    </w:p>
    <w:p w14:paraId="29D17DEE">
      <w:pPr>
        <w:spacing w:line="360" w:lineRule="auto"/>
        <w:ind w:firstLine="4515" w:firstLineChars="2150"/>
        <w:rPr>
          <w:rFonts w:ascii="宋体" w:hAnsi="宋体" w:cs="宋体"/>
          <w:u w:val="single"/>
        </w:rPr>
      </w:pPr>
    </w:p>
    <w:p w14:paraId="210B9CDF">
      <w:pPr>
        <w:spacing w:line="360" w:lineRule="auto"/>
        <w:ind w:firstLine="4515" w:firstLineChars="2150"/>
        <w:rPr>
          <w:rFonts w:ascii="宋体" w:hAnsi="宋体" w:cs="宋体"/>
        </w:rPr>
      </w:pP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14:paraId="28C6783B">
      <w:pPr>
        <w:spacing w:line="360" w:lineRule="auto"/>
        <w:jc w:val="center"/>
        <w:rPr>
          <w:rFonts w:ascii="宋体" w:hAnsi="宋体" w:cs="宋体"/>
          <w:b/>
          <w:bCs/>
          <w:sz w:val="28"/>
          <w:szCs w:val="28"/>
        </w:rPr>
      </w:pPr>
    </w:p>
    <w:p w14:paraId="348F5175">
      <w:pPr>
        <w:spacing w:line="360" w:lineRule="auto"/>
        <w:jc w:val="center"/>
        <w:rPr>
          <w:rFonts w:ascii="宋体" w:hAnsi="宋体" w:cs="宋体"/>
          <w:b/>
          <w:bCs/>
          <w:sz w:val="28"/>
          <w:szCs w:val="28"/>
        </w:rPr>
      </w:pPr>
    </w:p>
    <w:p w14:paraId="081D637A">
      <w:pPr>
        <w:spacing w:line="360" w:lineRule="auto"/>
        <w:jc w:val="center"/>
        <w:rPr>
          <w:rFonts w:ascii="宋体" w:hAnsi="宋体" w:cs="宋体"/>
          <w:b/>
          <w:bCs/>
          <w:sz w:val="28"/>
          <w:szCs w:val="28"/>
        </w:rPr>
      </w:pPr>
    </w:p>
    <w:p w14:paraId="7E05A7CD">
      <w:pPr>
        <w:spacing w:line="360" w:lineRule="auto"/>
        <w:jc w:val="center"/>
        <w:rPr>
          <w:rFonts w:ascii="宋体" w:hAnsi="宋体" w:cs="宋体"/>
          <w:b/>
          <w:bCs/>
          <w:sz w:val="28"/>
          <w:szCs w:val="28"/>
        </w:rPr>
      </w:pPr>
    </w:p>
    <w:p w14:paraId="6A9CEE88">
      <w:pPr>
        <w:spacing w:after="120" w:line="360" w:lineRule="auto"/>
        <w:ind w:left="420" w:leftChars="200" w:firstLine="420" w:firstLineChars="200"/>
        <w:rPr>
          <w:rFonts w:ascii="宋体" w:hAnsi="宋体" w:cs="宋体"/>
          <w:szCs w:val="22"/>
        </w:rPr>
      </w:pPr>
    </w:p>
    <w:p w14:paraId="531674AA">
      <w:pPr>
        <w:spacing w:line="360" w:lineRule="auto"/>
        <w:jc w:val="center"/>
        <w:rPr>
          <w:rFonts w:ascii="宋体" w:hAnsi="宋体" w:cs="宋体"/>
          <w:b/>
          <w:bCs/>
          <w:sz w:val="28"/>
          <w:szCs w:val="28"/>
        </w:rPr>
      </w:pPr>
    </w:p>
    <w:p w14:paraId="7FD0C8CB">
      <w:pPr>
        <w:spacing w:line="360" w:lineRule="auto"/>
        <w:jc w:val="center"/>
        <w:rPr>
          <w:rFonts w:ascii="宋体" w:hAnsi="宋体" w:cs="宋体"/>
          <w:b/>
          <w:bCs/>
          <w:sz w:val="28"/>
          <w:szCs w:val="28"/>
        </w:rPr>
      </w:pPr>
    </w:p>
    <w:p w14:paraId="32554BF0">
      <w:pPr>
        <w:spacing w:line="360" w:lineRule="auto"/>
        <w:jc w:val="center"/>
        <w:rPr>
          <w:rFonts w:ascii="宋体" w:hAnsi="宋体" w:cs="宋体"/>
          <w:b/>
          <w:bCs/>
          <w:sz w:val="28"/>
          <w:szCs w:val="28"/>
        </w:rPr>
      </w:pPr>
    </w:p>
    <w:p w14:paraId="7299EF51">
      <w:pPr>
        <w:spacing w:line="360" w:lineRule="auto"/>
        <w:jc w:val="center"/>
        <w:rPr>
          <w:rFonts w:hint="eastAsia" w:ascii="宋体" w:hAnsi="宋体" w:cs="宋体"/>
          <w:b/>
          <w:bCs/>
          <w:sz w:val="28"/>
          <w:szCs w:val="28"/>
        </w:rPr>
      </w:pPr>
    </w:p>
    <w:p w14:paraId="610009E7">
      <w:pPr>
        <w:spacing w:line="360" w:lineRule="auto"/>
        <w:jc w:val="center"/>
        <w:rPr>
          <w:rFonts w:hint="eastAsia" w:ascii="宋体" w:hAnsi="宋体" w:cs="宋体"/>
          <w:b/>
          <w:bCs/>
          <w:sz w:val="28"/>
          <w:szCs w:val="28"/>
        </w:rPr>
      </w:pPr>
    </w:p>
    <w:p w14:paraId="574F754A">
      <w:pPr>
        <w:spacing w:line="360" w:lineRule="auto"/>
        <w:jc w:val="center"/>
        <w:rPr>
          <w:rFonts w:hint="eastAsia" w:ascii="宋体" w:hAnsi="宋体" w:cs="宋体"/>
          <w:b/>
          <w:bCs/>
          <w:sz w:val="28"/>
          <w:szCs w:val="28"/>
        </w:rPr>
      </w:pPr>
    </w:p>
    <w:p w14:paraId="63317E11">
      <w:pPr>
        <w:spacing w:line="360" w:lineRule="auto"/>
        <w:jc w:val="center"/>
        <w:rPr>
          <w:rFonts w:hint="eastAsia" w:ascii="宋体" w:hAnsi="宋体" w:cs="宋体"/>
          <w:b/>
          <w:bCs/>
          <w:sz w:val="28"/>
          <w:szCs w:val="28"/>
        </w:rPr>
      </w:pPr>
    </w:p>
    <w:p w14:paraId="25FDF024">
      <w:pPr>
        <w:spacing w:line="360" w:lineRule="auto"/>
        <w:jc w:val="center"/>
        <w:rPr>
          <w:rFonts w:hint="eastAsia" w:ascii="宋体" w:hAnsi="宋体" w:cs="宋体"/>
          <w:b/>
          <w:bCs/>
          <w:sz w:val="28"/>
          <w:szCs w:val="28"/>
        </w:rPr>
      </w:pPr>
    </w:p>
    <w:p w14:paraId="21424E05">
      <w:pPr>
        <w:spacing w:line="360" w:lineRule="auto"/>
        <w:jc w:val="center"/>
        <w:rPr>
          <w:rFonts w:ascii="宋体" w:hAnsi="宋体" w:cs="宋体"/>
          <w:b/>
          <w:bCs/>
          <w:sz w:val="28"/>
          <w:szCs w:val="28"/>
        </w:rPr>
      </w:pPr>
      <w:r>
        <w:rPr>
          <w:rFonts w:hint="eastAsia" w:ascii="宋体" w:hAnsi="宋体" w:cs="宋体"/>
          <w:b/>
          <w:bCs/>
          <w:sz w:val="28"/>
          <w:szCs w:val="28"/>
          <w:lang w:val="en-US" w:eastAsia="zh-CN"/>
        </w:rPr>
        <w:t>五、</w:t>
      </w:r>
      <w:r>
        <w:rPr>
          <w:rFonts w:hint="eastAsia" w:ascii="宋体" w:hAnsi="宋体" w:cs="宋体"/>
          <w:b/>
          <w:bCs/>
          <w:sz w:val="28"/>
          <w:szCs w:val="28"/>
        </w:rPr>
        <w:t>授权委托书</w:t>
      </w:r>
    </w:p>
    <w:p w14:paraId="4F8B83A2">
      <w:pPr>
        <w:spacing w:line="360" w:lineRule="auto"/>
        <w:ind w:firstLine="422" w:firstLineChars="200"/>
        <w:rPr>
          <w:rFonts w:ascii="宋体" w:hAnsi="宋体" w:cs="宋体"/>
          <w:b/>
          <w:szCs w:val="22"/>
        </w:rPr>
      </w:pPr>
    </w:p>
    <w:p w14:paraId="42F2FA77">
      <w:pPr>
        <w:spacing w:line="360" w:lineRule="auto"/>
        <w:ind w:firstLine="420" w:firstLineChars="200"/>
        <w:rPr>
          <w:rFonts w:ascii="宋体" w:hAnsi="宋体" w:cs="宋体"/>
          <w:bCs/>
          <w:szCs w:val="22"/>
        </w:rPr>
      </w:pPr>
      <w:r>
        <w:rPr>
          <w:rFonts w:hint="eastAsia" w:ascii="宋体" w:hAnsi="宋体" w:cs="宋体"/>
          <w:bCs/>
          <w:szCs w:val="22"/>
        </w:rPr>
        <w:t>本人</w:t>
      </w:r>
      <w:r>
        <w:rPr>
          <w:rFonts w:hint="eastAsia" w:ascii="宋体" w:hAnsi="宋体" w:cs="宋体"/>
          <w:bCs/>
          <w:szCs w:val="22"/>
          <w:u w:val="single"/>
        </w:rPr>
        <w:t xml:space="preserve">      </w:t>
      </w:r>
      <w:r>
        <w:rPr>
          <w:rFonts w:hint="eastAsia" w:ascii="宋体" w:hAnsi="宋体" w:cs="宋体"/>
          <w:bCs/>
          <w:szCs w:val="22"/>
        </w:rPr>
        <w:t>（姓名）系</w:t>
      </w:r>
      <w:r>
        <w:rPr>
          <w:rFonts w:hint="eastAsia" w:ascii="宋体" w:hAnsi="宋体" w:cs="宋体"/>
          <w:bCs/>
          <w:szCs w:val="22"/>
          <w:u w:val="single"/>
        </w:rPr>
        <w:t xml:space="preserve">                </w:t>
      </w:r>
      <w:r>
        <w:rPr>
          <w:rFonts w:hint="eastAsia" w:ascii="宋体" w:hAnsi="宋体" w:cs="宋体"/>
          <w:bCs/>
          <w:szCs w:val="22"/>
        </w:rPr>
        <w:t>（投标人名称）的法定代表人，现委托</w:t>
      </w:r>
      <w:r>
        <w:rPr>
          <w:rFonts w:hint="eastAsia" w:ascii="宋体" w:hAnsi="宋体" w:cs="宋体"/>
          <w:bCs/>
          <w:szCs w:val="22"/>
          <w:u w:val="single"/>
        </w:rPr>
        <w:t xml:space="preserve">       </w:t>
      </w:r>
      <w:r>
        <w:rPr>
          <w:rFonts w:hint="eastAsia" w:ascii="宋体" w:hAnsi="宋体" w:cs="宋体"/>
          <w:bCs/>
          <w:szCs w:val="22"/>
        </w:rPr>
        <w:t>（姓名）为我方代理人。代理人根据授权，以我方名义签署、澄清、说明、补正、递交、撤回、修改</w:t>
      </w:r>
      <w:r>
        <w:rPr>
          <w:rFonts w:hint="eastAsia" w:ascii="宋体" w:hAnsi="宋体" w:cs="宋体"/>
          <w:bCs/>
          <w:szCs w:val="22"/>
          <w:u w:val="single"/>
        </w:rPr>
        <w:t xml:space="preserve">       </w:t>
      </w:r>
      <w:r>
        <w:rPr>
          <w:rFonts w:hint="eastAsia" w:ascii="宋体" w:hAnsi="宋体" w:cs="宋体"/>
          <w:bCs/>
          <w:szCs w:val="22"/>
        </w:rPr>
        <w:t>（项目名称/标段）投标文件、签订合同和处理有关事宜，其法律后果由我方承担。</w:t>
      </w:r>
    </w:p>
    <w:p w14:paraId="678A2FE1">
      <w:pPr>
        <w:spacing w:line="360" w:lineRule="auto"/>
        <w:ind w:firstLine="420" w:firstLineChars="200"/>
        <w:rPr>
          <w:rFonts w:ascii="宋体" w:hAnsi="宋体" w:cs="宋体"/>
          <w:bCs/>
          <w:szCs w:val="22"/>
          <w:u w:val="single"/>
        </w:rPr>
      </w:pPr>
      <w:r>
        <w:rPr>
          <w:rFonts w:hint="eastAsia" w:ascii="宋体" w:hAnsi="宋体" w:cs="宋体"/>
          <w:bCs/>
          <w:szCs w:val="22"/>
        </w:rPr>
        <w:t>委托期限：</w:t>
      </w:r>
      <w:r>
        <w:rPr>
          <w:rFonts w:hint="eastAsia" w:ascii="宋体" w:hAnsi="宋体" w:cs="宋体"/>
          <w:bCs/>
          <w:szCs w:val="22"/>
          <w:u w:val="single"/>
        </w:rPr>
        <w:t xml:space="preserve">                                 </w:t>
      </w:r>
      <w:r>
        <w:rPr>
          <w:rFonts w:hint="eastAsia" w:ascii="宋体" w:hAnsi="宋体" w:cs="宋体"/>
          <w:bCs/>
          <w:szCs w:val="22"/>
        </w:rPr>
        <w:t>；</w:t>
      </w:r>
    </w:p>
    <w:p w14:paraId="388BA419">
      <w:pPr>
        <w:spacing w:line="360" w:lineRule="auto"/>
        <w:ind w:firstLine="420" w:firstLineChars="200"/>
        <w:rPr>
          <w:rFonts w:ascii="宋体" w:hAnsi="宋体" w:cs="宋体"/>
          <w:bCs/>
          <w:szCs w:val="22"/>
        </w:rPr>
      </w:pPr>
      <w:r>
        <w:rPr>
          <w:rFonts w:hint="eastAsia" w:ascii="宋体" w:hAnsi="宋体" w:cs="宋体"/>
          <w:bCs/>
          <w:szCs w:val="22"/>
        </w:rPr>
        <w:t>代理人无转委托权。</w:t>
      </w:r>
    </w:p>
    <w:p w14:paraId="70855CC7">
      <w:pPr>
        <w:spacing w:after="156" w:line="360" w:lineRule="auto"/>
        <w:ind w:firstLine="420" w:firstLineChars="200"/>
        <w:rPr>
          <w:rFonts w:ascii="宋体" w:hAnsi="宋体" w:cs="宋体"/>
          <w:bCs/>
          <w:szCs w:val="22"/>
        </w:rPr>
      </w:pPr>
      <w:r>
        <w:rPr>
          <w:rFonts w:hint="eastAsia" w:ascii="宋体" w:hAnsi="宋体" w:cs="宋体"/>
          <w:bCs/>
          <w:szCs w:val="22"/>
        </w:rPr>
        <w:t xml:space="preserve"> 附：授权委托人的人身份证复印件（正反两面，加盖单位公章）</w:t>
      </w:r>
    </w:p>
    <w:p w14:paraId="414B29A7">
      <w:pPr>
        <w:spacing w:line="360" w:lineRule="auto"/>
        <w:ind w:firstLine="420" w:firstLineChars="200"/>
        <w:rPr>
          <w:rFonts w:ascii="宋体" w:hAnsi="宋体" w:cs="宋体"/>
          <w:bCs/>
          <w:szCs w:val="22"/>
        </w:rPr>
      </w:pPr>
    </w:p>
    <w:p w14:paraId="3EE8D946">
      <w:pPr>
        <w:spacing w:line="360" w:lineRule="auto"/>
        <w:ind w:firstLine="420" w:firstLineChars="200"/>
        <w:rPr>
          <w:rFonts w:ascii="宋体" w:hAnsi="宋体" w:cs="宋体"/>
          <w:bCs/>
          <w:szCs w:val="22"/>
        </w:rPr>
      </w:pPr>
    </w:p>
    <w:p w14:paraId="0633229F">
      <w:pPr>
        <w:spacing w:line="360" w:lineRule="auto"/>
        <w:ind w:firstLine="420" w:firstLineChars="200"/>
        <w:rPr>
          <w:rFonts w:ascii="宋体" w:hAnsi="宋体" w:cs="宋体"/>
          <w:bCs/>
          <w:szCs w:val="22"/>
        </w:rPr>
      </w:pPr>
    </w:p>
    <w:p w14:paraId="36D9A66A">
      <w:pPr>
        <w:spacing w:line="360" w:lineRule="auto"/>
        <w:ind w:firstLine="420" w:firstLineChars="200"/>
        <w:rPr>
          <w:rFonts w:ascii="宋体" w:hAnsi="宋体" w:cs="宋体"/>
          <w:szCs w:val="22"/>
        </w:rPr>
      </w:pPr>
    </w:p>
    <w:p w14:paraId="461A8CE5">
      <w:pPr>
        <w:spacing w:line="360" w:lineRule="auto"/>
        <w:ind w:firstLine="420" w:firstLineChars="200"/>
        <w:jc w:val="right"/>
        <w:rPr>
          <w:rFonts w:ascii="宋体" w:hAnsi="宋体" w:cs="宋体"/>
          <w:szCs w:val="22"/>
        </w:rPr>
      </w:pPr>
      <w:r>
        <w:rPr>
          <w:rFonts w:hint="eastAsia" w:ascii="宋体" w:hAnsi="宋体" w:cs="宋体"/>
          <w:szCs w:val="22"/>
        </w:rPr>
        <w:t>投标人：</w:t>
      </w:r>
      <w:r>
        <w:rPr>
          <w:rFonts w:hint="eastAsia" w:ascii="宋体" w:hAnsi="宋体" w:cs="宋体"/>
          <w:szCs w:val="22"/>
          <w:u w:val="single"/>
        </w:rPr>
        <w:t xml:space="preserve">                          </w:t>
      </w:r>
      <w:r>
        <w:rPr>
          <w:rFonts w:hint="eastAsia" w:ascii="宋体" w:hAnsi="宋体" w:cs="宋体"/>
          <w:szCs w:val="22"/>
        </w:rPr>
        <w:t>（盖单位章）</w:t>
      </w:r>
    </w:p>
    <w:p w14:paraId="1157FD66">
      <w:pPr>
        <w:spacing w:line="360" w:lineRule="auto"/>
        <w:ind w:firstLine="420" w:firstLineChars="200"/>
        <w:rPr>
          <w:rFonts w:ascii="宋体" w:hAnsi="宋体" w:cs="宋体"/>
          <w:szCs w:val="22"/>
        </w:rPr>
      </w:pPr>
    </w:p>
    <w:p w14:paraId="409A21A9">
      <w:pPr>
        <w:spacing w:line="360" w:lineRule="auto"/>
        <w:ind w:firstLine="420" w:firstLineChars="200"/>
        <w:jc w:val="right"/>
        <w:rPr>
          <w:rFonts w:ascii="宋体" w:hAnsi="宋体" w:cs="宋体"/>
          <w:szCs w:val="22"/>
        </w:rPr>
      </w:pPr>
      <w:r>
        <w:rPr>
          <w:rFonts w:hint="eastAsia" w:ascii="宋体" w:hAnsi="宋体" w:cs="宋体"/>
          <w:szCs w:val="22"/>
        </w:rPr>
        <w:t>法定代表人：</w:t>
      </w:r>
      <w:r>
        <w:rPr>
          <w:rFonts w:hint="eastAsia" w:ascii="宋体" w:hAnsi="宋体" w:cs="宋体"/>
          <w:szCs w:val="22"/>
          <w:u w:val="single"/>
        </w:rPr>
        <w:t xml:space="preserve">                     </w:t>
      </w:r>
      <w:r>
        <w:rPr>
          <w:rFonts w:hint="eastAsia" w:ascii="宋体" w:hAnsi="宋体" w:cs="宋体"/>
          <w:szCs w:val="22"/>
        </w:rPr>
        <w:t xml:space="preserve">（签字或盖章）       </w:t>
      </w:r>
    </w:p>
    <w:p w14:paraId="0792556A">
      <w:pPr>
        <w:spacing w:line="360" w:lineRule="auto"/>
        <w:ind w:firstLine="420" w:firstLineChars="200"/>
        <w:rPr>
          <w:rFonts w:ascii="宋体" w:hAnsi="宋体" w:cs="宋体"/>
          <w:szCs w:val="22"/>
        </w:rPr>
      </w:pPr>
    </w:p>
    <w:p w14:paraId="57589BFE">
      <w:pPr>
        <w:spacing w:line="360" w:lineRule="auto"/>
        <w:ind w:firstLine="420" w:firstLineChars="200"/>
        <w:jc w:val="right"/>
        <w:rPr>
          <w:rFonts w:ascii="宋体" w:hAnsi="宋体" w:cs="宋体"/>
          <w:szCs w:val="22"/>
        </w:rPr>
      </w:pPr>
      <w:r>
        <w:rPr>
          <w:rFonts w:hint="eastAsia" w:ascii="宋体" w:hAnsi="宋体" w:cs="宋体"/>
          <w:szCs w:val="22"/>
        </w:rPr>
        <w:t>联系电话：</w:t>
      </w:r>
      <w:r>
        <w:rPr>
          <w:rFonts w:hint="eastAsia" w:ascii="宋体" w:hAnsi="宋体" w:cs="宋体"/>
          <w:szCs w:val="22"/>
          <w:u w:val="single"/>
        </w:rPr>
        <w:t xml:space="preserve">                                 </w:t>
      </w:r>
      <w:r>
        <w:rPr>
          <w:rFonts w:hint="eastAsia" w:ascii="宋体" w:hAnsi="宋体" w:cs="宋体"/>
          <w:szCs w:val="22"/>
        </w:rPr>
        <w:t>；</w:t>
      </w:r>
      <w:r>
        <w:rPr>
          <w:rFonts w:hint="eastAsia" w:ascii="宋体" w:hAnsi="宋体" w:cs="宋体"/>
          <w:szCs w:val="22"/>
          <w:u w:val="single"/>
        </w:rPr>
        <w:t xml:space="preserve">                              </w:t>
      </w:r>
    </w:p>
    <w:p w14:paraId="40720901">
      <w:pPr>
        <w:spacing w:line="360" w:lineRule="auto"/>
        <w:ind w:firstLine="420" w:firstLineChars="200"/>
        <w:rPr>
          <w:rFonts w:ascii="宋体" w:hAnsi="宋体" w:cs="宋体"/>
          <w:szCs w:val="22"/>
        </w:rPr>
      </w:pPr>
    </w:p>
    <w:p w14:paraId="66C9BEC9">
      <w:pPr>
        <w:spacing w:line="360" w:lineRule="auto"/>
        <w:ind w:firstLine="420" w:firstLineChars="200"/>
        <w:jc w:val="right"/>
        <w:rPr>
          <w:rFonts w:ascii="宋体" w:hAnsi="宋体" w:cs="宋体"/>
          <w:szCs w:val="22"/>
        </w:rPr>
      </w:pPr>
      <w:r>
        <w:rPr>
          <w:rFonts w:hint="eastAsia" w:ascii="宋体" w:hAnsi="宋体" w:cs="宋体"/>
          <w:szCs w:val="22"/>
        </w:rPr>
        <w:t>委托代理人：</w:t>
      </w:r>
      <w:r>
        <w:rPr>
          <w:rFonts w:hint="eastAsia" w:ascii="宋体" w:hAnsi="宋体" w:cs="宋体"/>
          <w:szCs w:val="22"/>
          <w:u w:val="single"/>
        </w:rPr>
        <w:t xml:space="preserve">                   </w:t>
      </w:r>
      <w:r>
        <w:rPr>
          <w:rFonts w:hint="eastAsia" w:ascii="宋体" w:hAnsi="宋体" w:cs="宋体"/>
          <w:szCs w:val="22"/>
        </w:rPr>
        <w:t>（签字或盖章）</w:t>
      </w:r>
    </w:p>
    <w:p w14:paraId="593C4171">
      <w:pPr>
        <w:spacing w:line="360" w:lineRule="auto"/>
        <w:ind w:firstLine="420" w:firstLineChars="200"/>
        <w:rPr>
          <w:rFonts w:ascii="宋体" w:hAnsi="宋体" w:cs="宋体"/>
          <w:szCs w:val="22"/>
        </w:rPr>
      </w:pPr>
    </w:p>
    <w:p w14:paraId="0B6BD416">
      <w:pPr>
        <w:spacing w:line="360" w:lineRule="auto"/>
        <w:ind w:firstLine="420" w:firstLineChars="200"/>
        <w:jc w:val="right"/>
        <w:rPr>
          <w:rFonts w:ascii="宋体" w:hAnsi="宋体" w:cs="宋体"/>
          <w:szCs w:val="22"/>
        </w:rPr>
      </w:pPr>
      <w:r>
        <w:rPr>
          <w:rFonts w:hint="eastAsia" w:ascii="宋体" w:hAnsi="宋体" w:cs="宋体"/>
          <w:szCs w:val="22"/>
        </w:rPr>
        <w:t>联系电话：</w:t>
      </w:r>
      <w:r>
        <w:rPr>
          <w:rFonts w:hint="eastAsia" w:ascii="宋体" w:hAnsi="宋体" w:cs="宋体"/>
          <w:szCs w:val="22"/>
          <w:u w:val="single"/>
        </w:rPr>
        <w:t xml:space="preserve">                                </w:t>
      </w:r>
      <w:r>
        <w:rPr>
          <w:rFonts w:hint="eastAsia" w:ascii="宋体" w:hAnsi="宋体" w:cs="宋体"/>
          <w:szCs w:val="22"/>
        </w:rPr>
        <w:t xml:space="preserve">；                                 </w:t>
      </w:r>
    </w:p>
    <w:p w14:paraId="4ECE22B1">
      <w:pPr>
        <w:spacing w:line="360" w:lineRule="auto"/>
        <w:ind w:firstLine="5040" w:firstLineChars="2400"/>
        <w:rPr>
          <w:rFonts w:ascii="宋体" w:hAnsi="宋体" w:cs="宋体"/>
          <w:szCs w:val="22"/>
        </w:rPr>
      </w:pPr>
      <w:r>
        <w:rPr>
          <w:rFonts w:hint="eastAsia" w:ascii="宋体" w:hAnsi="宋体" w:cs="宋体"/>
          <w:szCs w:val="22"/>
        </w:rPr>
        <w:t xml:space="preserve">                    </w:t>
      </w:r>
    </w:p>
    <w:p w14:paraId="683C2263">
      <w:pPr>
        <w:jc w:val="right"/>
        <w:rPr>
          <w:rFonts w:ascii="宋体" w:hAnsi="宋体" w:cs="宋体"/>
          <w:b/>
          <w:kern w:val="0"/>
          <w:sz w:val="28"/>
          <w:szCs w:val="28"/>
        </w:rPr>
      </w:pPr>
      <w:r>
        <w:rPr>
          <w:rFonts w:hint="eastAsia" w:ascii="宋体" w:hAnsi="宋体" w:cs="宋体"/>
          <w:szCs w:val="22"/>
        </w:rPr>
        <w:t xml:space="preserve"> </w:t>
      </w:r>
      <w:r>
        <w:rPr>
          <w:rFonts w:hint="eastAsia" w:ascii="宋体" w:hAnsi="宋体" w:cs="宋体"/>
          <w:szCs w:val="22"/>
          <w:u w:val="single"/>
        </w:rPr>
        <w:t xml:space="preserve">      </w:t>
      </w:r>
      <w:r>
        <w:rPr>
          <w:rFonts w:hint="eastAsia" w:ascii="宋体" w:hAnsi="宋体" w:cs="宋体"/>
          <w:szCs w:val="22"/>
        </w:rPr>
        <w:t>年</w:t>
      </w:r>
      <w:r>
        <w:rPr>
          <w:rFonts w:hint="eastAsia" w:ascii="宋体" w:hAnsi="宋体" w:cs="宋体"/>
          <w:szCs w:val="22"/>
          <w:u w:val="single"/>
        </w:rPr>
        <w:t xml:space="preserve">   </w:t>
      </w:r>
      <w:r>
        <w:rPr>
          <w:rFonts w:hint="eastAsia" w:ascii="宋体" w:hAnsi="宋体" w:cs="宋体"/>
          <w:szCs w:val="22"/>
        </w:rPr>
        <w:t>月</w:t>
      </w:r>
      <w:r>
        <w:rPr>
          <w:rFonts w:hint="eastAsia" w:ascii="宋体" w:hAnsi="宋体" w:cs="宋体"/>
          <w:szCs w:val="22"/>
          <w:u w:val="single"/>
        </w:rPr>
        <w:t xml:space="preserve">    </w:t>
      </w:r>
      <w:r>
        <w:rPr>
          <w:rFonts w:hint="eastAsia" w:ascii="宋体" w:hAnsi="宋体" w:cs="宋体"/>
          <w:szCs w:val="22"/>
        </w:rPr>
        <w:t>日</w:t>
      </w:r>
    </w:p>
    <w:p w14:paraId="56F469E9">
      <w:pPr>
        <w:widowControl/>
        <w:spacing w:line="360" w:lineRule="auto"/>
        <w:jc w:val="center"/>
        <w:rPr>
          <w:rFonts w:ascii="宋体" w:hAnsi="宋体" w:cs="宋体"/>
          <w:b/>
          <w:kern w:val="0"/>
          <w:sz w:val="28"/>
          <w:szCs w:val="28"/>
        </w:rPr>
      </w:pPr>
    </w:p>
    <w:p w14:paraId="233CD5EC">
      <w:pPr>
        <w:widowControl/>
        <w:spacing w:line="360" w:lineRule="auto"/>
        <w:jc w:val="center"/>
        <w:rPr>
          <w:rFonts w:ascii="宋体" w:hAnsi="宋体" w:cs="宋体"/>
          <w:b/>
          <w:kern w:val="0"/>
          <w:sz w:val="28"/>
          <w:szCs w:val="28"/>
        </w:rPr>
      </w:pPr>
    </w:p>
    <w:p w14:paraId="7AA5176D">
      <w:pPr>
        <w:widowControl/>
        <w:spacing w:line="360" w:lineRule="auto"/>
        <w:jc w:val="center"/>
        <w:rPr>
          <w:rFonts w:ascii="宋体" w:hAnsi="宋体" w:cs="宋体"/>
          <w:b/>
          <w:kern w:val="0"/>
          <w:sz w:val="28"/>
          <w:szCs w:val="28"/>
        </w:rPr>
      </w:pPr>
    </w:p>
    <w:p w14:paraId="654E7439">
      <w:pPr>
        <w:widowControl/>
        <w:spacing w:line="360" w:lineRule="auto"/>
        <w:jc w:val="center"/>
        <w:rPr>
          <w:rFonts w:ascii="宋体" w:hAnsi="宋体" w:cs="宋体"/>
          <w:b/>
          <w:kern w:val="0"/>
          <w:sz w:val="28"/>
          <w:szCs w:val="28"/>
        </w:rPr>
      </w:pPr>
    </w:p>
    <w:bookmarkEnd w:id="302"/>
    <w:bookmarkEnd w:id="303"/>
    <w:bookmarkEnd w:id="304"/>
    <w:p w14:paraId="76EAE91B">
      <w:pPr>
        <w:keepNext w:val="0"/>
        <w:keepLines w:val="0"/>
        <w:widowControl w:val="0"/>
        <w:autoSpaceDE w:val="0"/>
        <w:autoSpaceDN w:val="0"/>
        <w:spacing w:before="240" w:beforeLines="100" w:after="240" w:afterLines="100" w:line="360" w:lineRule="auto"/>
        <w:ind w:left="1315"/>
        <w:jc w:val="center"/>
        <w:outlineLvl w:val="2"/>
        <w:rPr>
          <w:rFonts w:ascii="宋体" w:hAnsi="宋体" w:eastAsia="宋体" w:cs="宋体"/>
          <w:b/>
          <w:bCs/>
          <w:kern w:val="0"/>
          <w:sz w:val="24"/>
          <w:szCs w:val="24"/>
          <w:lang w:val="zh-CN" w:eastAsia="zh-CN" w:bidi="zh-CN"/>
        </w:rPr>
      </w:pPr>
    </w:p>
    <w:p w14:paraId="05A5CF3F">
      <w:pPr>
        <w:keepNext w:val="0"/>
        <w:keepLines w:val="0"/>
        <w:widowControl w:val="0"/>
        <w:autoSpaceDE w:val="0"/>
        <w:autoSpaceDN w:val="0"/>
        <w:spacing w:before="240" w:beforeLines="100" w:after="240" w:afterLines="100" w:line="360" w:lineRule="auto"/>
        <w:ind w:left="1315"/>
        <w:jc w:val="center"/>
        <w:outlineLvl w:val="2"/>
        <w:rPr>
          <w:rFonts w:ascii="宋体" w:hAnsi="宋体" w:eastAsia="宋体" w:cs="宋体"/>
          <w:b/>
          <w:bCs/>
          <w:kern w:val="0"/>
          <w:sz w:val="24"/>
          <w:szCs w:val="24"/>
          <w:lang w:val="zh-CN" w:eastAsia="zh-CN" w:bidi="zh-CN"/>
        </w:rPr>
      </w:pPr>
    </w:p>
    <w:p w14:paraId="7651A6FA">
      <w:pPr>
        <w:keepNext w:val="0"/>
        <w:keepLines w:val="0"/>
        <w:widowControl w:val="0"/>
        <w:autoSpaceDE w:val="0"/>
        <w:autoSpaceDN w:val="0"/>
        <w:spacing w:before="240" w:beforeLines="100" w:after="240" w:afterLines="100" w:line="360" w:lineRule="auto"/>
        <w:jc w:val="center"/>
        <w:outlineLvl w:val="2"/>
        <w:rPr>
          <w:rFonts w:ascii="宋体" w:hAnsi="宋体" w:eastAsia="宋体" w:cs="宋体"/>
          <w:b/>
          <w:bCs/>
          <w:kern w:val="0"/>
          <w:sz w:val="24"/>
          <w:szCs w:val="24"/>
          <w:lang w:val="zh-CN" w:eastAsia="zh-CN" w:bidi="zh-CN"/>
        </w:rPr>
      </w:pPr>
      <w:r>
        <w:rPr>
          <w:rFonts w:ascii="宋体" w:hAnsi="宋体" w:eastAsia="宋体" w:cs="宋体"/>
          <w:b/>
          <w:bCs/>
          <w:kern w:val="0"/>
          <w:sz w:val="24"/>
          <w:szCs w:val="24"/>
          <w:lang w:val="zh-CN" w:eastAsia="zh-CN" w:bidi="zh-CN"/>
        </w:rPr>
        <w:t>六、投标响应表</w:t>
      </w:r>
    </w:p>
    <w:p w14:paraId="3C066094">
      <w:pPr>
        <w:ind w:firstLine="632" w:firstLineChars="300"/>
        <w:rPr>
          <w:rFonts w:ascii="Times New Roman" w:hAnsi="Times New Roman" w:eastAsia="宋体" w:cs="Times New Roman"/>
          <w:b/>
          <w:szCs w:val="21"/>
        </w:rPr>
      </w:pPr>
      <w:r>
        <w:rPr>
          <w:rFonts w:hint="eastAsia" w:ascii="Times New Roman" w:hAnsi="Times New Roman" w:eastAsia="宋体" w:cs="Times New Roman"/>
          <w:b/>
          <w:szCs w:val="21"/>
        </w:rPr>
        <w:t xml:space="preserve">6.1 </w:t>
      </w:r>
      <w:r>
        <w:rPr>
          <w:rFonts w:ascii="Times New Roman" w:hAnsi="Times New Roman" w:eastAsia="宋体" w:cs="Times New Roman"/>
          <w:b/>
          <w:szCs w:val="21"/>
        </w:rPr>
        <w:t>商务</w:t>
      </w:r>
      <w:r>
        <w:rPr>
          <w:rFonts w:hint="eastAsia" w:cs="Times New Roman"/>
          <w:b/>
          <w:szCs w:val="21"/>
          <w:lang w:eastAsia="zh-CN"/>
        </w:rPr>
        <w:t>、</w:t>
      </w:r>
      <w:r>
        <w:rPr>
          <w:rFonts w:hint="eastAsia" w:cs="Times New Roman"/>
          <w:b/>
          <w:szCs w:val="21"/>
          <w:lang w:val="en-US" w:eastAsia="zh-CN"/>
        </w:rPr>
        <w:t>技术</w:t>
      </w:r>
      <w:r>
        <w:rPr>
          <w:rFonts w:ascii="Times New Roman" w:hAnsi="Times New Roman" w:eastAsia="宋体" w:cs="Times New Roman"/>
          <w:b/>
          <w:szCs w:val="21"/>
        </w:rPr>
        <w:t>响应表</w:t>
      </w:r>
    </w:p>
    <w:p w14:paraId="1FD5DF50">
      <w:pPr>
        <w:widowControl w:val="0"/>
        <w:autoSpaceDE w:val="0"/>
        <w:autoSpaceDN w:val="0"/>
        <w:spacing w:before="5" w:line="360" w:lineRule="auto"/>
        <w:ind w:left="0"/>
        <w:jc w:val="left"/>
        <w:rPr>
          <w:rFonts w:ascii="宋体" w:hAnsi="宋体" w:eastAsia="宋体" w:cs="宋体"/>
          <w:b/>
          <w:kern w:val="0"/>
          <w:sz w:val="21"/>
          <w:szCs w:val="21"/>
          <w:lang w:val="zh-CN" w:eastAsia="zh-CN" w:bidi="zh-CN"/>
        </w:rPr>
      </w:pPr>
    </w:p>
    <w:tbl>
      <w:tblPr>
        <w:tblStyle w:val="19"/>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5"/>
        <w:gridCol w:w="1916"/>
        <w:gridCol w:w="2497"/>
        <w:gridCol w:w="2576"/>
        <w:gridCol w:w="811"/>
      </w:tblGrid>
      <w:tr w14:paraId="6445D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25" w:type="dxa"/>
            <w:noWrap w:val="0"/>
            <w:vAlign w:val="top"/>
          </w:tcPr>
          <w:p w14:paraId="788840C4">
            <w:pPr>
              <w:keepNext w:val="0"/>
              <w:keepLines w:val="0"/>
              <w:widowControl w:val="0"/>
              <w:suppressLineNumbers w:val="0"/>
              <w:autoSpaceDE w:val="0"/>
              <w:autoSpaceDN w:val="0"/>
              <w:spacing w:before="155" w:beforeAutospacing="0" w:after="0" w:afterAutospacing="0" w:line="360" w:lineRule="auto"/>
              <w:ind w:left="101" w:right="92"/>
              <w:jc w:val="center"/>
              <w:rPr>
                <w:rFonts w:hint="default" w:ascii="宋体" w:hAnsi="宋体" w:eastAsia="宋体" w:cs="宋体"/>
                <w:b/>
                <w:kern w:val="0"/>
                <w:sz w:val="21"/>
                <w:szCs w:val="21"/>
                <w:lang w:val="zh-CN" w:eastAsia="en-US" w:bidi="zh-CN"/>
              </w:rPr>
            </w:pPr>
            <w:r>
              <w:rPr>
                <w:rFonts w:hint="default" w:ascii="宋体" w:hAnsi="宋体" w:eastAsia="宋体" w:cs="宋体"/>
                <w:b/>
                <w:kern w:val="0"/>
                <w:sz w:val="21"/>
                <w:szCs w:val="21"/>
                <w:lang w:val="zh-CN" w:eastAsia="en-US" w:bidi="zh-CN"/>
              </w:rPr>
              <w:t>序号</w:t>
            </w:r>
          </w:p>
        </w:tc>
        <w:tc>
          <w:tcPr>
            <w:tcW w:w="1916" w:type="dxa"/>
            <w:noWrap w:val="0"/>
            <w:vAlign w:val="top"/>
          </w:tcPr>
          <w:p w14:paraId="3B1A5822">
            <w:pPr>
              <w:keepNext w:val="0"/>
              <w:keepLines w:val="0"/>
              <w:widowControl w:val="0"/>
              <w:suppressLineNumbers w:val="0"/>
              <w:autoSpaceDE w:val="0"/>
              <w:autoSpaceDN w:val="0"/>
              <w:spacing w:before="155" w:beforeAutospacing="0" w:after="0" w:afterAutospacing="0" w:line="360" w:lineRule="auto"/>
              <w:ind w:left="96" w:right="89"/>
              <w:jc w:val="center"/>
              <w:rPr>
                <w:rFonts w:hint="default" w:ascii="宋体" w:hAnsi="宋体" w:eastAsia="宋体" w:cs="宋体"/>
                <w:b/>
                <w:kern w:val="0"/>
                <w:sz w:val="21"/>
                <w:szCs w:val="21"/>
                <w:lang w:val="zh-CN" w:eastAsia="en-US" w:bidi="zh-CN"/>
              </w:rPr>
            </w:pPr>
            <w:r>
              <w:rPr>
                <w:rFonts w:hint="default" w:ascii="宋体" w:hAnsi="宋体" w:eastAsia="宋体" w:cs="宋体"/>
                <w:b/>
                <w:kern w:val="0"/>
                <w:sz w:val="21"/>
                <w:szCs w:val="21"/>
                <w:lang w:val="zh-CN" w:eastAsia="en-US" w:bidi="zh-CN"/>
              </w:rPr>
              <w:t>商务条款</w:t>
            </w:r>
          </w:p>
        </w:tc>
        <w:tc>
          <w:tcPr>
            <w:tcW w:w="2497" w:type="dxa"/>
            <w:noWrap w:val="0"/>
            <w:vAlign w:val="top"/>
          </w:tcPr>
          <w:p w14:paraId="12E76FD5">
            <w:pPr>
              <w:keepNext w:val="0"/>
              <w:keepLines w:val="0"/>
              <w:widowControl w:val="0"/>
              <w:suppressLineNumbers w:val="0"/>
              <w:autoSpaceDE w:val="0"/>
              <w:autoSpaceDN w:val="0"/>
              <w:spacing w:before="155" w:beforeAutospacing="0" w:after="0" w:afterAutospacing="0" w:line="360" w:lineRule="auto"/>
              <w:ind w:left="524" w:right="0"/>
              <w:jc w:val="left"/>
              <w:rPr>
                <w:rFonts w:hint="default" w:ascii="宋体" w:hAnsi="宋体" w:eastAsia="宋体" w:cs="宋体"/>
                <w:b/>
                <w:kern w:val="0"/>
                <w:sz w:val="21"/>
                <w:szCs w:val="21"/>
                <w:lang w:val="zh-CN" w:eastAsia="en-US" w:bidi="zh-CN"/>
              </w:rPr>
            </w:pPr>
            <w:r>
              <w:rPr>
                <w:rFonts w:hint="eastAsia" w:ascii="宋体" w:hAnsi="宋体" w:cs="宋体"/>
                <w:b/>
                <w:kern w:val="0"/>
                <w:sz w:val="21"/>
                <w:szCs w:val="21"/>
                <w:lang w:val="zh-CN" w:eastAsia="en-US" w:bidi="zh-CN"/>
              </w:rPr>
              <w:t>遴选文件</w:t>
            </w:r>
            <w:r>
              <w:rPr>
                <w:rFonts w:hint="default" w:ascii="宋体" w:hAnsi="宋体" w:eastAsia="宋体" w:cs="宋体"/>
                <w:b/>
                <w:kern w:val="0"/>
                <w:sz w:val="21"/>
                <w:szCs w:val="21"/>
                <w:lang w:val="zh-CN" w:eastAsia="en-US" w:bidi="zh-CN"/>
              </w:rPr>
              <w:t>要求</w:t>
            </w:r>
          </w:p>
        </w:tc>
        <w:tc>
          <w:tcPr>
            <w:tcW w:w="2576" w:type="dxa"/>
            <w:noWrap w:val="0"/>
            <w:vAlign w:val="top"/>
          </w:tcPr>
          <w:p w14:paraId="21B98899">
            <w:pPr>
              <w:keepNext w:val="0"/>
              <w:keepLines w:val="0"/>
              <w:widowControl w:val="0"/>
              <w:suppressLineNumbers w:val="0"/>
              <w:autoSpaceDE w:val="0"/>
              <w:autoSpaceDN w:val="0"/>
              <w:spacing w:before="155" w:beforeAutospacing="0" w:after="0" w:afterAutospacing="0" w:line="360" w:lineRule="auto"/>
              <w:ind w:left="682" w:right="0"/>
              <w:jc w:val="left"/>
              <w:rPr>
                <w:rFonts w:hint="default" w:ascii="宋体" w:hAnsi="宋体" w:eastAsia="宋体" w:cs="宋体"/>
                <w:b/>
                <w:kern w:val="0"/>
                <w:sz w:val="21"/>
                <w:szCs w:val="21"/>
                <w:lang w:val="zh-CN" w:eastAsia="en-US" w:bidi="zh-CN"/>
              </w:rPr>
            </w:pPr>
            <w:r>
              <w:rPr>
                <w:rFonts w:hint="default" w:ascii="宋体" w:hAnsi="宋体" w:eastAsia="宋体" w:cs="宋体"/>
                <w:b/>
                <w:kern w:val="0"/>
                <w:sz w:val="21"/>
                <w:szCs w:val="21"/>
                <w:lang w:val="zh-CN" w:eastAsia="en-US" w:bidi="zh-CN"/>
              </w:rPr>
              <w:t>投标人承诺</w:t>
            </w:r>
          </w:p>
        </w:tc>
        <w:tc>
          <w:tcPr>
            <w:tcW w:w="811" w:type="dxa"/>
            <w:noWrap w:val="0"/>
            <w:vAlign w:val="top"/>
          </w:tcPr>
          <w:p w14:paraId="7F2B720C">
            <w:pPr>
              <w:keepNext w:val="0"/>
              <w:keepLines w:val="0"/>
              <w:widowControl w:val="0"/>
              <w:suppressLineNumbers w:val="0"/>
              <w:autoSpaceDE w:val="0"/>
              <w:autoSpaceDN w:val="0"/>
              <w:spacing w:before="0" w:beforeAutospacing="0" w:after="0" w:afterAutospacing="0" w:line="360" w:lineRule="auto"/>
              <w:ind w:left="161" w:right="0"/>
              <w:jc w:val="left"/>
              <w:rPr>
                <w:rFonts w:hint="default" w:ascii="宋体" w:hAnsi="宋体" w:eastAsia="宋体" w:cs="宋体"/>
                <w:b/>
                <w:kern w:val="0"/>
                <w:sz w:val="21"/>
                <w:szCs w:val="21"/>
                <w:lang w:val="zh-CN" w:eastAsia="en-US" w:bidi="zh-CN"/>
              </w:rPr>
            </w:pPr>
            <w:r>
              <w:rPr>
                <w:rFonts w:hint="default" w:ascii="宋体" w:hAnsi="宋体" w:eastAsia="宋体" w:cs="宋体"/>
                <w:b/>
                <w:kern w:val="0"/>
                <w:sz w:val="21"/>
                <w:szCs w:val="21"/>
                <w:lang w:val="zh-CN" w:eastAsia="en-US" w:bidi="zh-CN"/>
              </w:rPr>
              <w:t>偏离</w:t>
            </w:r>
          </w:p>
          <w:p w14:paraId="18F3714E">
            <w:pPr>
              <w:keepNext w:val="0"/>
              <w:keepLines w:val="0"/>
              <w:widowControl w:val="0"/>
              <w:suppressLineNumbers w:val="0"/>
              <w:autoSpaceDE w:val="0"/>
              <w:autoSpaceDN w:val="0"/>
              <w:spacing w:before="4" w:beforeAutospacing="0" w:after="0" w:afterAutospacing="0" w:line="360" w:lineRule="auto"/>
              <w:ind w:left="161" w:right="0"/>
              <w:jc w:val="left"/>
              <w:rPr>
                <w:rFonts w:hint="default" w:ascii="宋体" w:hAnsi="宋体" w:eastAsia="宋体" w:cs="宋体"/>
                <w:b/>
                <w:kern w:val="0"/>
                <w:sz w:val="21"/>
                <w:szCs w:val="21"/>
                <w:lang w:val="zh-CN" w:eastAsia="en-US" w:bidi="zh-CN"/>
              </w:rPr>
            </w:pPr>
            <w:r>
              <w:rPr>
                <w:rFonts w:hint="default" w:ascii="宋体" w:hAnsi="宋体" w:eastAsia="宋体" w:cs="宋体"/>
                <w:b/>
                <w:kern w:val="0"/>
                <w:sz w:val="21"/>
                <w:szCs w:val="21"/>
                <w:lang w:val="zh-CN" w:eastAsia="en-US" w:bidi="zh-CN"/>
              </w:rPr>
              <w:t>说明</w:t>
            </w:r>
          </w:p>
        </w:tc>
      </w:tr>
      <w:tr w14:paraId="468E2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9" w:hRule="atLeast"/>
        </w:trPr>
        <w:tc>
          <w:tcPr>
            <w:tcW w:w="725" w:type="dxa"/>
            <w:noWrap w:val="0"/>
            <w:vAlign w:val="top"/>
          </w:tcPr>
          <w:p w14:paraId="181B38C0">
            <w:pPr>
              <w:keepNext w:val="0"/>
              <w:keepLines w:val="0"/>
              <w:widowControl w:val="0"/>
              <w:suppressLineNumbers w:val="0"/>
              <w:autoSpaceDE w:val="0"/>
              <w:autoSpaceDN w:val="0"/>
              <w:spacing w:before="71" w:beforeAutospacing="0" w:after="0" w:afterAutospacing="0" w:line="360" w:lineRule="auto"/>
              <w:ind w:left="9" w:right="0"/>
              <w:jc w:val="center"/>
              <w:rPr>
                <w:rFonts w:hint="default" w:ascii="宋体" w:hAnsi="宋体" w:eastAsia="宋体" w:cs="宋体"/>
                <w:kern w:val="0"/>
                <w:sz w:val="21"/>
                <w:szCs w:val="21"/>
                <w:lang w:val="zh-CN" w:eastAsia="en-US" w:bidi="zh-CN"/>
              </w:rPr>
            </w:pPr>
            <w:r>
              <w:rPr>
                <w:rFonts w:hint="default" w:ascii="宋体" w:hAnsi="宋体" w:eastAsia="宋体" w:cs="宋体"/>
                <w:kern w:val="0"/>
                <w:sz w:val="21"/>
                <w:szCs w:val="21"/>
                <w:lang w:val="zh-CN" w:eastAsia="en-US" w:bidi="zh-CN"/>
              </w:rPr>
              <w:t>1</w:t>
            </w:r>
          </w:p>
        </w:tc>
        <w:tc>
          <w:tcPr>
            <w:tcW w:w="1916" w:type="dxa"/>
            <w:noWrap w:val="0"/>
            <w:vAlign w:val="top"/>
          </w:tcPr>
          <w:p w14:paraId="6A10FD17">
            <w:pPr>
              <w:keepNext w:val="0"/>
              <w:keepLines w:val="0"/>
              <w:widowControl w:val="0"/>
              <w:suppressLineNumbers w:val="0"/>
              <w:autoSpaceDE w:val="0"/>
              <w:autoSpaceDN w:val="0"/>
              <w:spacing w:before="71" w:beforeAutospacing="0" w:after="0" w:afterAutospacing="0" w:line="360" w:lineRule="auto"/>
              <w:ind w:left="97" w:right="89"/>
              <w:jc w:val="center"/>
              <w:rPr>
                <w:rFonts w:hint="default" w:ascii="宋体" w:hAnsi="宋体" w:eastAsia="宋体" w:cs="宋体"/>
                <w:kern w:val="0"/>
                <w:sz w:val="21"/>
                <w:szCs w:val="21"/>
                <w:lang w:val="zh-CN" w:eastAsia="en-US" w:bidi="zh-CN"/>
              </w:rPr>
            </w:pPr>
            <w:r>
              <w:rPr>
                <w:rFonts w:hint="default" w:ascii="宋体" w:hAnsi="宋体" w:eastAsia="宋体" w:cs="宋体"/>
                <w:kern w:val="0"/>
                <w:sz w:val="21"/>
                <w:szCs w:val="21"/>
                <w:lang w:val="zh-CN" w:eastAsia="en-US" w:bidi="zh-CN"/>
              </w:rPr>
              <w:t>付款方式</w:t>
            </w:r>
          </w:p>
        </w:tc>
        <w:tc>
          <w:tcPr>
            <w:tcW w:w="2497" w:type="dxa"/>
            <w:noWrap w:val="0"/>
            <w:vAlign w:val="top"/>
          </w:tcPr>
          <w:p w14:paraId="2BA0C27C">
            <w:pPr>
              <w:keepNext w:val="0"/>
              <w:keepLines w:val="0"/>
              <w:widowControl w:val="0"/>
              <w:suppressLineNumbers w:val="0"/>
              <w:autoSpaceDE w:val="0"/>
              <w:autoSpaceDN w:val="0"/>
              <w:spacing w:before="0" w:beforeAutospacing="0" w:after="0" w:afterAutospacing="0" w:line="360" w:lineRule="auto"/>
              <w:ind w:left="0" w:right="0"/>
              <w:jc w:val="left"/>
              <w:rPr>
                <w:rFonts w:hint="default" w:ascii="宋体" w:hAnsi="宋体" w:eastAsia="宋体" w:cs="宋体"/>
                <w:kern w:val="0"/>
                <w:sz w:val="21"/>
                <w:szCs w:val="21"/>
                <w:lang w:val="zh-CN" w:eastAsia="en-US" w:bidi="zh-CN"/>
              </w:rPr>
            </w:pPr>
            <w:r>
              <w:rPr>
                <w:rFonts w:hint="default" w:ascii="宋体" w:hAnsi="宋体" w:eastAsia="宋体" w:cs="宋体"/>
                <w:kern w:val="0"/>
                <w:sz w:val="21"/>
                <w:szCs w:val="21"/>
                <w:lang w:val="zh-CN" w:eastAsia="en-US" w:bidi="zh-CN"/>
              </w:rPr>
              <w:t>实际结算金额=全库统一协议单价×甲方验收合格的实际工程量</w:t>
            </w:r>
          </w:p>
        </w:tc>
        <w:tc>
          <w:tcPr>
            <w:tcW w:w="2576" w:type="dxa"/>
            <w:noWrap w:val="0"/>
            <w:vAlign w:val="top"/>
          </w:tcPr>
          <w:p w14:paraId="448BF02A">
            <w:pPr>
              <w:keepNext w:val="0"/>
              <w:keepLines w:val="0"/>
              <w:widowControl w:val="0"/>
              <w:suppressLineNumbers w:val="0"/>
              <w:autoSpaceDE w:val="0"/>
              <w:autoSpaceDN w:val="0"/>
              <w:spacing w:before="0" w:beforeAutospacing="0" w:after="0" w:afterAutospacing="0" w:line="360" w:lineRule="auto"/>
              <w:ind w:left="0" w:right="0"/>
              <w:jc w:val="left"/>
              <w:rPr>
                <w:rFonts w:hint="default" w:ascii="宋体" w:hAnsi="宋体" w:eastAsia="宋体" w:cs="宋体"/>
                <w:kern w:val="0"/>
                <w:sz w:val="21"/>
                <w:szCs w:val="21"/>
                <w:lang w:val="zh-CN" w:eastAsia="en-US" w:bidi="zh-CN"/>
              </w:rPr>
            </w:pPr>
          </w:p>
        </w:tc>
        <w:tc>
          <w:tcPr>
            <w:tcW w:w="811" w:type="dxa"/>
            <w:noWrap w:val="0"/>
            <w:vAlign w:val="top"/>
          </w:tcPr>
          <w:p w14:paraId="1327206E">
            <w:pPr>
              <w:keepNext w:val="0"/>
              <w:keepLines w:val="0"/>
              <w:widowControl w:val="0"/>
              <w:suppressLineNumbers w:val="0"/>
              <w:autoSpaceDE w:val="0"/>
              <w:autoSpaceDN w:val="0"/>
              <w:spacing w:before="0" w:beforeAutospacing="0" w:after="0" w:afterAutospacing="0" w:line="360" w:lineRule="auto"/>
              <w:ind w:left="0" w:right="0"/>
              <w:jc w:val="left"/>
              <w:rPr>
                <w:rFonts w:hint="default" w:ascii="宋体" w:hAnsi="宋体" w:eastAsia="宋体" w:cs="宋体"/>
                <w:kern w:val="0"/>
                <w:sz w:val="21"/>
                <w:szCs w:val="21"/>
                <w:lang w:val="zh-CN" w:eastAsia="en-US" w:bidi="zh-CN"/>
              </w:rPr>
            </w:pPr>
          </w:p>
        </w:tc>
      </w:tr>
      <w:tr w14:paraId="3CF4F2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6" w:hRule="atLeast"/>
        </w:trPr>
        <w:tc>
          <w:tcPr>
            <w:tcW w:w="725" w:type="dxa"/>
            <w:noWrap w:val="0"/>
            <w:vAlign w:val="top"/>
          </w:tcPr>
          <w:p w14:paraId="104FBCDF">
            <w:pPr>
              <w:keepNext w:val="0"/>
              <w:keepLines w:val="0"/>
              <w:widowControl w:val="0"/>
              <w:suppressLineNumbers w:val="0"/>
              <w:autoSpaceDE w:val="0"/>
              <w:autoSpaceDN w:val="0"/>
              <w:spacing w:before="72" w:beforeAutospacing="0" w:after="0" w:afterAutospacing="0" w:line="360" w:lineRule="auto"/>
              <w:ind w:left="9" w:right="0"/>
              <w:jc w:val="center"/>
              <w:rPr>
                <w:rFonts w:hint="default" w:ascii="宋体" w:hAnsi="宋体" w:eastAsia="宋体" w:cs="宋体"/>
                <w:kern w:val="0"/>
                <w:sz w:val="21"/>
                <w:szCs w:val="21"/>
                <w:lang w:val="zh-CN" w:eastAsia="en-US" w:bidi="zh-CN"/>
              </w:rPr>
            </w:pPr>
            <w:r>
              <w:rPr>
                <w:rFonts w:hint="default" w:ascii="宋体" w:hAnsi="宋体" w:eastAsia="宋体" w:cs="宋体"/>
                <w:kern w:val="0"/>
                <w:sz w:val="21"/>
                <w:szCs w:val="21"/>
                <w:lang w:val="zh-CN" w:eastAsia="en-US" w:bidi="zh-CN"/>
              </w:rPr>
              <w:t>2</w:t>
            </w:r>
          </w:p>
        </w:tc>
        <w:tc>
          <w:tcPr>
            <w:tcW w:w="1916" w:type="dxa"/>
            <w:noWrap w:val="0"/>
            <w:vAlign w:val="top"/>
          </w:tcPr>
          <w:p w14:paraId="21C675AB">
            <w:pPr>
              <w:keepNext w:val="0"/>
              <w:keepLines w:val="0"/>
              <w:widowControl w:val="0"/>
              <w:suppressLineNumbers w:val="0"/>
              <w:autoSpaceDE w:val="0"/>
              <w:autoSpaceDN w:val="0"/>
              <w:spacing w:before="72" w:beforeAutospacing="0" w:after="0" w:afterAutospacing="0" w:line="360" w:lineRule="auto"/>
              <w:ind w:left="97" w:right="89"/>
              <w:jc w:val="center"/>
              <w:rPr>
                <w:rFonts w:hint="default" w:ascii="宋体" w:hAnsi="宋体" w:eastAsia="宋体" w:cs="宋体"/>
                <w:kern w:val="0"/>
                <w:sz w:val="21"/>
                <w:szCs w:val="21"/>
                <w:lang w:val="zh-CN" w:eastAsia="en-US" w:bidi="zh-CN"/>
              </w:rPr>
            </w:pPr>
            <w:r>
              <w:rPr>
                <w:rFonts w:hint="eastAsia" w:ascii="宋体" w:hAnsi="宋体" w:cs="宋体"/>
                <w:kern w:val="0"/>
                <w:sz w:val="21"/>
                <w:szCs w:val="21"/>
                <w:lang w:val="en-US" w:eastAsia="en-US" w:bidi="zh-CN"/>
              </w:rPr>
              <w:t>服务</w:t>
            </w:r>
            <w:r>
              <w:rPr>
                <w:rFonts w:hint="default" w:ascii="宋体" w:hAnsi="宋体" w:eastAsia="宋体" w:cs="宋体"/>
                <w:kern w:val="0"/>
                <w:sz w:val="21"/>
                <w:szCs w:val="21"/>
                <w:lang w:val="zh-CN" w:eastAsia="en-US" w:bidi="zh-CN"/>
              </w:rPr>
              <w:t>地点</w:t>
            </w:r>
          </w:p>
        </w:tc>
        <w:tc>
          <w:tcPr>
            <w:tcW w:w="2497" w:type="dxa"/>
            <w:noWrap w:val="0"/>
            <w:vAlign w:val="top"/>
          </w:tcPr>
          <w:p w14:paraId="2226D645">
            <w:pPr>
              <w:keepNext w:val="0"/>
              <w:keepLines w:val="0"/>
              <w:widowControl w:val="0"/>
              <w:suppressLineNumbers w:val="0"/>
              <w:autoSpaceDE w:val="0"/>
              <w:autoSpaceDN w:val="0"/>
              <w:spacing w:before="0" w:beforeAutospacing="0" w:after="0" w:afterAutospacing="0" w:line="360" w:lineRule="auto"/>
              <w:ind w:left="0" w:right="0"/>
              <w:jc w:val="left"/>
              <w:rPr>
                <w:rFonts w:hint="default" w:ascii="宋体" w:hAnsi="宋体" w:eastAsia="宋体" w:cs="宋体"/>
                <w:kern w:val="0"/>
                <w:sz w:val="21"/>
                <w:szCs w:val="21"/>
                <w:lang w:val="zh-CN" w:eastAsia="en-US" w:bidi="zh-CN"/>
              </w:rPr>
            </w:pPr>
            <w:r>
              <w:rPr>
                <w:rFonts w:hint="default" w:ascii="宋体" w:hAnsi="宋体" w:eastAsia="宋体" w:cs="宋体"/>
                <w:kern w:val="0"/>
                <w:sz w:val="21"/>
                <w:szCs w:val="21"/>
                <w:lang w:val="zh-CN" w:eastAsia="en-US" w:bidi="zh-CN"/>
              </w:rPr>
              <w:t>采购人指定阜阳行政区域内各场站现场</w:t>
            </w:r>
          </w:p>
        </w:tc>
        <w:tc>
          <w:tcPr>
            <w:tcW w:w="2576" w:type="dxa"/>
            <w:noWrap w:val="0"/>
            <w:vAlign w:val="top"/>
          </w:tcPr>
          <w:p w14:paraId="25B5597C">
            <w:pPr>
              <w:keepNext w:val="0"/>
              <w:keepLines w:val="0"/>
              <w:widowControl w:val="0"/>
              <w:suppressLineNumbers w:val="0"/>
              <w:autoSpaceDE w:val="0"/>
              <w:autoSpaceDN w:val="0"/>
              <w:spacing w:before="0" w:beforeAutospacing="0" w:after="0" w:afterAutospacing="0" w:line="360" w:lineRule="auto"/>
              <w:ind w:left="0" w:right="0"/>
              <w:jc w:val="left"/>
              <w:rPr>
                <w:rFonts w:hint="default" w:ascii="宋体" w:hAnsi="宋体" w:eastAsia="宋体" w:cs="宋体"/>
                <w:kern w:val="0"/>
                <w:sz w:val="21"/>
                <w:szCs w:val="21"/>
                <w:lang w:val="zh-CN" w:eastAsia="en-US" w:bidi="zh-CN"/>
              </w:rPr>
            </w:pPr>
          </w:p>
        </w:tc>
        <w:tc>
          <w:tcPr>
            <w:tcW w:w="811" w:type="dxa"/>
            <w:noWrap w:val="0"/>
            <w:vAlign w:val="top"/>
          </w:tcPr>
          <w:p w14:paraId="64AE7952">
            <w:pPr>
              <w:keepNext w:val="0"/>
              <w:keepLines w:val="0"/>
              <w:widowControl w:val="0"/>
              <w:suppressLineNumbers w:val="0"/>
              <w:autoSpaceDE w:val="0"/>
              <w:autoSpaceDN w:val="0"/>
              <w:spacing w:before="0" w:beforeAutospacing="0" w:after="0" w:afterAutospacing="0" w:line="360" w:lineRule="auto"/>
              <w:ind w:left="0" w:right="0"/>
              <w:jc w:val="left"/>
              <w:rPr>
                <w:rFonts w:hint="default" w:ascii="宋体" w:hAnsi="宋体" w:eastAsia="宋体" w:cs="宋体"/>
                <w:kern w:val="0"/>
                <w:sz w:val="21"/>
                <w:szCs w:val="21"/>
                <w:lang w:val="zh-CN" w:eastAsia="en-US" w:bidi="zh-CN"/>
              </w:rPr>
            </w:pPr>
          </w:p>
        </w:tc>
      </w:tr>
      <w:tr w14:paraId="122CF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6" w:hRule="atLeast"/>
        </w:trPr>
        <w:tc>
          <w:tcPr>
            <w:tcW w:w="725" w:type="dxa"/>
            <w:noWrap w:val="0"/>
            <w:vAlign w:val="top"/>
          </w:tcPr>
          <w:p w14:paraId="4C6F63D3">
            <w:pPr>
              <w:keepNext w:val="0"/>
              <w:keepLines w:val="0"/>
              <w:widowControl w:val="0"/>
              <w:suppressLineNumbers w:val="0"/>
              <w:autoSpaceDE w:val="0"/>
              <w:autoSpaceDN w:val="0"/>
              <w:spacing w:before="71" w:beforeAutospacing="0" w:after="0" w:afterAutospacing="0" w:line="360" w:lineRule="auto"/>
              <w:ind w:left="9" w:right="0"/>
              <w:jc w:val="center"/>
              <w:rPr>
                <w:rFonts w:hint="default" w:ascii="宋体" w:hAnsi="宋体" w:eastAsia="宋体" w:cs="宋体"/>
                <w:kern w:val="0"/>
                <w:sz w:val="21"/>
                <w:szCs w:val="21"/>
                <w:lang w:val="zh-CN" w:eastAsia="en-US" w:bidi="zh-CN"/>
              </w:rPr>
            </w:pPr>
            <w:r>
              <w:rPr>
                <w:rFonts w:hint="default" w:ascii="宋体" w:hAnsi="宋体" w:eastAsia="宋体" w:cs="宋体"/>
                <w:kern w:val="0"/>
                <w:sz w:val="21"/>
                <w:szCs w:val="21"/>
                <w:lang w:val="zh-CN" w:eastAsia="en-US" w:bidi="zh-CN"/>
              </w:rPr>
              <w:t>3</w:t>
            </w:r>
          </w:p>
        </w:tc>
        <w:tc>
          <w:tcPr>
            <w:tcW w:w="1916" w:type="dxa"/>
            <w:noWrap w:val="0"/>
            <w:vAlign w:val="top"/>
          </w:tcPr>
          <w:p w14:paraId="7AC047C4">
            <w:pPr>
              <w:keepNext w:val="0"/>
              <w:keepLines w:val="0"/>
              <w:widowControl w:val="0"/>
              <w:suppressLineNumbers w:val="0"/>
              <w:autoSpaceDE w:val="0"/>
              <w:autoSpaceDN w:val="0"/>
              <w:spacing w:before="71" w:beforeAutospacing="0" w:after="0" w:afterAutospacing="0" w:line="360" w:lineRule="auto"/>
              <w:ind w:left="97" w:right="89"/>
              <w:jc w:val="center"/>
              <w:rPr>
                <w:rFonts w:hint="default" w:ascii="宋体" w:hAnsi="宋体" w:eastAsia="宋体" w:cs="宋体"/>
                <w:kern w:val="0"/>
                <w:sz w:val="21"/>
                <w:szCs w:val="21"/>
                <w:lang w:val="zh-CN" w:eastAsia="en-US" w:bidi="zh-CN"/>
              </w:rPr>
            </w:pPr>
            <w:r>
              <w:rPr>
                <w:rFonts w:hint="eastAsia" w:ascii="宋体" w:hAnsi="宋体" w:cs="宋体"/>
                <w:kern w:val="0"/>
                <w:sz w:val="21"/>
                <w:szCs w:val="21"/>
                <w:lang w:val="en-US" w:eastAsia="en-US" w:bidi="zh-CN"/>
              </w:rPr>
              <w:t>合同</w:t>
            </w:r>
            <w:r>
              <w:rPr>
                <w:rFonts w:hint="default" w:ascii="宋体" w:hAnsi="宋体" w:eastAsia="宋体" w:cs="宋体"/>
                <w:kern w:val="0"/>
                <w:sz w:val="21"/>
                <w:szCs w:val="21"/>
                <w:lang w:val="zh-CN" w:eastAsia="en-US" w:bidi="zh-CN"/>
              </w:rPr>
              <w:t>期限</w:t>
            </w:r>
          </w:p>
        </w:tc>
        <w:tc>
          <w:tcPr>
            <w:tcW w:w="2497" w:type="dxa"/>
            <w:noWrap w:val="0"/>
            <w:vAlign w:val="top"/>
          </w:tcPr>
          <w:p w14:paraId="5F06DB85">
            <w:pPr>
              <w:keepNext w:val="0"/>
              <w:keepLines w:val="0"/>
              <w:widowControl w:val="0"/>
              <w:suppressLineNumbers w:val="0"/>
              <w:autoSpaceDE w:val="0"/>
              <w:autoSpaceDN w:val="0"/>
              <w:spacing w:before="0" w:beforeAutospacing="0" w:after="0" w:afterAutospacing="0" w:line="360" w:lineRule="auto"/>
              <w:ind w:left="0" w:right="0"/>
              <w:jc w:val="left"/>
              <w:rPr>
                <w:rFonts w:hint="default" w:ascii="宋体" w:hAnsi="宋体" w:eastAsia="宋体" w:cs="宋体"/>
                <w:kern w:val="0"/>
                <w:sz w:val="21"/>
                <w:szCs w:val="21"/>
                <w:lang w:val="zh-CN" w:eastAsia="en-US" w:bidi="zh-CN"/>
              </w:rPr>
            </w:pPr>
            <w:r>
              <w:rPr>
                <w:rFonts w:hint="default" w:ascii="宋体" w:hAnsi="宋体" w:eastAsia="宋体" w:cs="宋体"/>
                <w:kern w:val="0"/>
                <w:sz w:val="21"/>
                <w:szCs w:val="21"/>
                <w:lang w:val="zh-CN" w:eastAsia="en-US" w:bidi="zh-CN"/>
              </w:rPr>
              <w:t>合同服务期限采用“1+1”年模式，即基础服务期为自供应商库组建完成之日起1年，经年度综合考核合格且采购人业务需要可续签1年。</w:t>
            </w:r>
          </w:p>
        </w:tc>
        <w:tc>
          <w:tcPr>
            <w:tcW w:w="2576" w:type="dxa"/>
            <w:noWrap w:val="0"/>
            <w:vAlign w:val="top"/>
          </w:tcPr>
          <w:p w14:paraId="0CB49607">
            <w:pPr>
              <w:keepNext w:val="0"/>
              <w:keepLines w:val="0"/>
              <w:widowControl w:val="0"/>
              <w:suppressLineNumbers w:val="0"/>
              <w:autoSpaceDE w:val="0"/>
              <w:autoSpaceDN w:val="0"/>
              <w:spacing w:before="0" w:beforeAutospacing="0" w:after="0" w:afterAutospacing="0" w:line="360" w:lineRule="auto"/>
              <w:ind w:left="0" w:right="0"/>
              <w:jc w:val="left"/>
              <w:rPr>
                <w:rFonts w:hint="default" w:ascii="宋体" w:hAnsi="宋体" w:eastAsia="宋体" w:cs="宋体"/>
                <w:kern w:val="0"/>
                <w:sz w:val="21"/>
                <w:szCs w:val="21"/>
                <w:lang w:val="zh-CN" w:eastAsia="en-US" w:bidi="zh-CN"/>
              </w:rPr>
            </w:pPr>
          </w:p>
        </w:tc>
        <w:tc>
          <w:tcPr>
            <w:tcW w:w="811" w:type="dxa"/>
            <w:noWrap w:val="0"/>
            <w:vAlign w:val="top"/>
          </w:tcPr>
          <w:p w14:paraId="4FDE044A">
            <w:pPr>
              <w:keepNext w:val="0"/>
              <w:keepLines w:val="0"/>
              <w:widowControl w:val="0"/>
              <w:suppressLineNumbers w:val="0"/>
              <w:autoSpaceDE w:val="0"/>
              <w:autoSpaceDN w:val="0"/>
              <w:spacing w:before="0" w:beforeAutospacing="0" w:after="0" w:afterAutospacing="0" w:line="360" w:lineRule="auto"/>
              <w:ind w:left="0" w:right="0"/>
              <w:jc w:val="left"/>
              <w:rPr>
                <w:rFonts w:hint="default" w:ascii="宋体" w:hAnsi="宋体" w:eastAsia="宋体" w:cs="宋体"/>
                <w:kern w:val="0"/>
                <w:sz w:val="21"/>
                <w:szCs w:val="21"/>
                <w:lang w:val="zh-CN" w:eastAsia="en-US" w:bidi="zh-CN"/>
              </w:rPr>
            </w:pPr>
          </w:p>
        </w:tc>
      </w:tr>
      <w:tr w14:paraId="2DA75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4" w:hRule="atLeast"/>
        </w:trPr>
        <w:tc>
          <w:tcPr>
            <w:tcW w:w="725" w:type="dxa"/>
            <w:noWrap w:val="0"/>
            <w:vAlign w:val="top"/>
          </w:tcPr>
          <w:p w14:paraId="5C2C96B8">
            <w:pPr>
              <w:keepNext w:val="0"/>
              <w:keepLines w:val="0"/>
              <w:widowControl w:val="0"/>
              <w:suppressLineNumbers w:val="0"/>
              <w:autoSpaceDE w:val="0"/>
              <w:autoSpaceDN w:val="0"/>
              <w:spacing w:before="72" w:beforeAutospacing="0" w:after="0" w:afterAutospacing="0" w:line="360" w:lineRule="auto"/>
              <w:ind w:left="9" w:right="0"/>
              <w:jc w:val="center"/>
              <w:rPr>
                <w:rFonts w:hint="default" w:ascii="宋体" w:hAnsi="宋体" w:eastAsia="宋体" w:cs="宋体"/>
                <w:kern w:val="0"/>
                <w:sz w:val="21"/>
                <w:szCs w:val="21"/>
                <w:lang w:val="zh-CN" w:eastAsia="en-US" w:bidi="zh-CN"/>
              </w:rPr>
            </w:pPr>
            <w:r>
              <w:rPr>
                <w:rFonts w:hint="default" w:ascii="宋体" w:hAnsi="宋体" w:eastAsia="宋体" w:cs="宋体"/>
                <w:kern w:val="0"/>
                <w:sz w:val="21"/>
                <w:szCs w:val="21"/>
                <w:lang w:val="zh-CN" w:eastAsia="en-US" w:bidi="zh-CN"/>
              </w:rPr>
              <w:t>4</w:t>
            </w:r>
          </w:p>
        </w:tc>
        <w:tc>
          <w:tcPr>
            <w:tcW w:w="1916" w:type="dxa"/>
            <w:noWrap w:val="0"/>
            <w:vAlign w:val="top"/>
          </w:tcPr>
          <w:p w14:paraId="1E619B90">
            <w:pPr>
              <w:keepNext w:val="0"/>
              <w:keepLines w:val="0"/>
              <w:widowControl w:val="0"/>
              <w:suppressLineNumbers w:val="0"/>
              <w:autoSpaceDE w:val="0"/>
              <w:autoSpaceDN w:val="0"/>
              <w:spacing w:before="72" w:beforeAutospacing="0" w:after="0" w:afterAutospacing="0" w:line="360" w:lineRule="auto"/>
              <w:ind w:left="97" w:right="89"/>
              <w:jc w:val="center"/>
              <w:rPr>
                <w:rFonts w:hint="default" w:ascii="宋体" w:hAnsi="宋体" w:eastAsia="宋体" w:cs="宋体"/>
                <w:kern w:val="0"/>
                <w:sz w:val="21"/>
                <w:szCs w:val="21"/>
                <w:lang w:val="zh-CN" w:eastAsia="en-US" w:bidi="zh-CN"/>
              </w:rPr>
            </w:pPr>
            <w:r>
              <w:rPr>
                <w:rFonts w:hint="default" w:ascii="宋体" w:hAnsi="宋体" w:eastAsia="宋体" w:cs="宋体"/>
                <w:kern w:val="0"/>
                <w:sz w:val="21"/>
                <w:szCs w:val="21"/>
                <w:lang w:val="zh-CN" w:eastAsia="en-US" w:bidi="zh-CN"/>
              </w:rPr>
              <w:t>质保期</w:t>
            </w:r>
          </w:p>
        </w:tc>
        <w:tc>
          <w:tcPr>
            <w:tcW w:w="2497" w:type="dxa"/>
            <w:noWrap w:val="0"/>
            <w:vAlign w:val="top"/>
          </w:tcPr>
          <w:p w14:paraId="0D7D88B6">
            <w:pPr>
              <w:keepNext w:val="0"/>
              <w:keepLines w:val="0"/>
              <w:widowControl w:val="0"/>
              <w:suppressLineNumbers w:val="0"/>
              <w:autoSpaceDE w:val="0"/>
              <w:autoSpaceDN w:val="0"/>
              <w:spacing w:before="0" w:beforeAutospacing="0" w:after="0" w:afterAutospacing="0" w:line="360" w:lineRule="auto"/>
              <w:ind w:left="0" w:right="0"/>
              <w:jc w:val="left"/>
              <w:rPr>
                <w:rFonts w:hint="default" w:ascii="宋体" w:hAnsi="宋体" w:cs="宋体"/>
                <w:kern w:val="0"/>
                <w:sz w:val="21"/>
                <w:szCs w:val="21"/>
                <w:lang w:val="en-US" w:eastAsia="en-US" w:bidi="zh-CN"/>
              </w:rPr>
            </w:pPr>
            <w:r>
              <w:rPr>
                <w:rFonts w:hint="eastAsia" w:ascii="宋体" w:hAnsi="宋体" w:cs="宋体"/>
                <w:kern w:val="0"/>
                <w:sz w:val="21"/>
                <w:szCs w:val="21"/>
                <w:lang w:val="en-US" w:eastAsia="en-US" w:bidi="zh-CN"/>
              </w:rPr>
              <w:t>维修件质保6个月，更换件质保12个月；质保期内出现同类故障免费返修/换新，二次运输费由乙方承担。</w:t>
            </w:r>
          </w:p>
        </w:tc>
        <w:tc>
          <w:tcPr>
            <w:tcW w:w="2576" w:type="dxa"/>
            <w:noWrap w:val="0"/>
            <w:vAlign w:val="top"/>
          </w:tcPr>
          <w:p w14:paraId="541DD838">
            <w:pPr>
              <w:keepNext w:val="0"/>
              <w:keepLines w:val="0"/>
              <w:widowControl w:val="0"/>
              <w:suppressLineNumbers w:val="0"/>
              <w:autoSpaceDE w:val="0"/>
              <w:autoSpaceDN w:val="0"/>
              <w:spacing w:before="0" w:beforeAutospacing="0" w:after="0" w:afterAutospacing="0" w:line="360" w:lineRule="auto"/>
              <w:ind w:left="0" w:right="0"/>
              <w:jc w:val="left"/>
              <w:rPr>
                <w:rFonts w:hint="default" w:ascii="宋体" w:hAnsi="宋体" w:eastAsia="宋体" w:cs="宋体"/>
                <w:kern w:val="0"/>
                <w:sz w:val="21"/>
                <w:szCs w:val="21"/>
                <w:lang w:val="zh-CN" w:eastAsia="en-US" w:bidi="zh-CN"/>
              </w:rPr>
            </w:pPr>
          </w:p>
        </w:tc>
        <w:tc>
          <w:tcPr>
            <w:tcW w:w="811" w:type="dxa"/>
            <w:noWrap w:val="0"/>
            <w:vAlign w:val="top"/>
          </w:tcPr>
          <w:p w14:paraId="5F870286">
            <w:pPr>
              <w:keepNext w:val="0"/>
              <w:keepLines w:val="0"/>
              <w:widowControl w:val="0"/>
              <w:suppressLineNumbers w:val="0"/>
              <w:autoSpaceDE w:val="0"/>
              <w:autoSpaceDN w:val="0"/>
              <w:spacing w:before="0" w:beforeAutospacing="0" w:after="0" w:afterAutospacing="0" w:line="360" w:lineRule="auto"/>
              <w:ind w:left="0" w:right="0"/>
              <w:jc w:val="left"/>
              <w:rPr>
                <w:rFonts w:hint="default" w:ascii="宋体" w:hAnsi="宋体" w:eastAsia="宋体" w:cs="宋体"/>
                <w:kern w:val="0"/>
                <w:sz w:val="21"/>
                <w:szCs w:val="21"/>
                <w:lang w:val="zh-CN" w:eastAsia="en-US" w:bidi="zh-CN"/>
              </w:rPr>
            </w:pPr>
          </w:p>
        </w:tc>
      </w:tr>
      <w:tr w14:paraId="79A1D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725" w:type="dxa"/>
            <w:noWrap w:val="0"/>
            <w:vAlign w:val="top"/>
          </w:tcPr>
          <w:p w14:paraId="73EB7A4C">
            <w:pPr>
              <w:keepNext w:val="0"/>
              <w:keepLines w:val="0"/>
              <w:widowControl w:val="0"/>
              <w:suppressLineNumbers w:val="0"/>
              <w:autoSpaceDE w:val="0"/>
              <w:autoSpaceDN w:val="0"/>
              <w:spacing w:before="72" w:beforeAutospacing="0" w:after="0" w:afterAutospacing="0" w:line="360" w:lineRule="auto"/>
              <w:ind w:left="9" w:right="0"/>
              <w:jc w:val="center"/>
              <w:rPr>
                <w:rFonts w:hint="default" w:ascii="宋体" w:hAnsi="宋体" w:eastAsia="宋体" w:cs="宋体"/>
                <w:kern w:val="0"/>
                <w:sz w:val="21"/>
                <w:szCs w:val="21"/>
                <w:lang w:val="en-US" w:eastAsia="en-US" w:bidi="zh-CN"/>
              </w:rPr>
            </w:pPr>
            <w:r>
              <w:rPr>
                <w:rFonts w:hint="eastAsia" w:ascii="宋体" w:hAnsi="宋体" w:cs="宋体"/>
                <w:kern w:val="0"/>
                <w:sz w:val="21"/>
                <w:szCs w:val="21"/>
                <w:lang w:val="en-US" w:eastAsia="en-US" w:bidi="zh-CN"/>
              </w:rPr>
              <w:t>5.</w:t>
            </w:r>
          </w:p>
        </w:tc>
        <w:tc>
          <w:tcPr>
            <w:tcW w:w="1916" w:type="dxa"/>
            <w:noWrap w:val="0"/>
            <w:vAlign w:val="top"/>
          </w:tcPr>
          <w:p w14:paraId="61148EC6">
            <w:pPr>
              <w:keepNext w:val="0"/>
              <w:keepLines w:val="0"/>
              <w:widowControl w:val="0"/>
              <w:suppressLineNumbers w:val="0"/>
              <w:autoSpaceDE w:val="0"/>
              <w:autoSpaceDN w:val="0"/>
              <w:spacing w:before="0" w:beforeAutospacing="0" w:after="0" w:afterAutospacing="0" w:line="360" w:lineRule="auto"/>
              <w:ind w:left="0" w:right="0"/>
              <w:jc w:val="center"/>
              <w:rPr>
                <w:rFonts w:hint="default" w:ascii="宋体" w:hAnsi="宋体" w:eastAsia="宋体" w:cs="宋体"/>
                <w:kern w:val="0"/>
                <w:sz w:val="21"/>
                <w:szCs w:val="21"/>
                <w:lang w:val="zh-CN" w:eastAsia="en-US" w:bidi="zh-CN"/>
              </w:rPr>
            </w:pPr>
            <w:r>
              <w:rPr>
                <w:rFonts w:hint="eastAsia" w:ascii="宋体" w:hAnsi="宋体" w:cs="宋体"/>
                <w:kern w:val="0"/>
                <w:sz w:val="21"/>
                <w:szCs w:val="21"/>
                <w:lang w:val="zh-CN" w:eastAsia="en-US" w:bidi="zh-CN"/>
              </w:rPr>
              <w:t>遴选文件</w:t>
            </w:r>
            <w:r>
              <w:rPr>
                <w:rFonts w:hint="default" w:ascii="宋体" w:hAnsi="宋体" w:eastAsia="宋体" w:cs="宋体"/>
                <w:kern w:val="0"/>
                <w:sz w:val="21"/>
                <w:szCs w:val="21"/>
                <w:lang w:val="zh-CN" w:eastAsia="en-US" w:bidi="zh-CN"/>
              </w:rPr>
              <w:t>规定的</w:t>
            </w:r>
            <w:r>
              <w:rPr>
                <w:rFonts w:hint="eastAsia" w:ascii="宋体" w:hAnsi="宋体" w:cs="宋体"/>
                <w:kern w:val="0"/>
                <w:sz w:val="21"/>
                <w:szCs w:val="21"/>
                <w:lang w:val="en-US" w:eastAsia="en-US" w:bidi="zh-CN"/>
              </w:rPr>
              <w:t>采购需求</w:t>
            </w:r>
          </w:p>
        </w:tc>
        <w:tc>
          <w:tcPr>
            <w:tcW w:w="2497" w:type="dxa"/>
            <w:noWrap w:val="0"/>
            <w:vAlign w:val="top"/>
          </w:tcPr>
          <w:p w14:paraId="5D0A8524">
            <w:pPr>
              <w:keepNext w:val="0"/>
              <w:keepLines w:val="0"/>
              <w:widowControl w:val="0"/>
              <w:suppressLineNumbers w:val="0"/>
              <w:autoSpaceDE w:val="0"/>
              <w:autoSpaceDN w:val="0"/>
              <w:spacing w:before="0" w:beforeAutospacing="0" w:after="0" w:afterAutospacing="0" w:line="360" w:lineRule="auto"/>
              <w:ind w:left="0" w:right="0"/>
              <w:jc w:val="both"/>
              <w:rPr>
                <w:rFonts w:hint="default" w:ascii="宋体" w:hAnsi="宋体" w:eastAsia="宋体" w:cs="宋体"/>
                <w:kern w:val="0"/>
                <w:sz w:val="21"/>
                <w:szCs w:val="21"/>
                <w:lang w:val="en-US" w:eastAsia="en-US" w:bidi="zh-CN"/>
              </w:rPr>
            </w:pPr>
            <w:r>
              <w:rPr>
                <w:rFonts w:hint="eastAsia" w:ascii="宋体" w:hAnsi="宋体" w:cs="宋体"/>
                <w:kern w:val="0"/>
                <w:sz w:val="21"/>
                <w:szCs w:val="21"/>
                <w:lang w:val="en-US" w:eastAsia="en-US" w:bidi="zh-CN"/>
              </w:rPr>
              <w:t>详见第三章采购需求</w:t>
            </w:r>
          </w:p>
        </w:tc>
        <w:tc>
          <w:tcPr>
            <w:tcW w:w="2576" w:type="dxa"/>
            <w:noWrap w:val="0"/>
            <w:vAlign w:val="top"/>
          </w:tcPr>
          <w:p w14:paraId="7AECE181">
            <w:pPr>
              <w:keepNext w:val="0"/>
              <w:keepLines w:val="0"/>
              <w:widowControl w:val="0"/>
              <w:suppressLineNumbers w:val="0"/>
              <w:autoSpaceDE w:val="0"/>
              <w:autoSpaceDN w:val="0"/>
              <w:spacing w:before="0" w:beforeAutospacing="0" w:after="0" w:afterAutospacing="0" w:line="360" w:lineRule="auto"/>
              <w:ind w:left="0" w:right="0"/>
              <w:jc w:val="left"/>
              <w:rPr>
                <w:rFonts w:hint="default" w:ascii="宋体" w:hAnsi="宋体" w:eastAsia="宋体" w:cs="宋体"/>
                <w:kern w:val="0"/>
                <w:sz w:val="21"/>
                <w:szCs w:val="21"/>
                <w:lang w:val="zh-CN" w:eastAsia="en-US" w:bidi="zh-CN"/>
              </w:rPr>
            </w:pPr>
          </w:p>
        </w:tc>
        <w:tc>
          <w:tcPr>
            <w:tcW w:w="811" w:type="dxa"/>
            <w:noWrap w:val="0"/>
            <w:vAlign w:val="top"/>
          </w:tcPr>
          <w:p w14:paraId="63A83E96">
            <w:pPr>
              <w:keepNext w:val="0"/>
              <w:keepLines w:val="0"/>
              <w:widowControl w:val="0"/>
              <w:suppressLineNumbers w:val="0"/>
              <w:autoSpaceDE w:val="0"/>
              <w:autoSpaceDN w:val="0"/>
              <w:spacing w:before="0" w:beforeAutospacing="0" w:after="0" w:afterAutospacing="0" w:line="360" w:lineRule="auto"/>
              <w:ind w:left="0" w:right="0"/>
              <w:jc w:val="left"/>
              <w:rPr>
                <w:rFonts w:hint="default" w:ascii="宋体" w:hAnsi="宋体" w:eastAsia="宋体" w:cs="宋体"/>
                <w:kern w:val="0"/>
                <w:sz w:val="21"/>
                <w:szCs w:val="21"/>
                <w:lang w:val="zh-CN" w:eastAsia="en-US" w:bidi="zh-CN"/>
              </w:rPr>
            </w:pPr>
          </w:p>
        </w:tc>
      </w:tr>
    </w:tbl>
    <w:p w14:paraId="08C547FA">
      <w:pPr>
        <w:ind w:firstLine="632" w:firstLineChars="300"/>
        <w:rPr>
          <w:rFonts w:ascii="Times New Roman" w:hAnsi="Times New Roman" w:eastAsia="宋体" w:cs="Times New Roman"/>
          <w:b/>
          <w:szCs w:val="21"/>
        </w:rPr>
      </w:pPr>
    </w:p>
    <w:p w14:paraId="7F4222E3">
      <w:pPr>
        <w:widowControl w:val="0"/>
        <w:autoSpaceDE w:val="0"/>
        <w:autoSpaceDN w:val="0"/>
        <w:spacing w:before="80" w:line="360" w:lineRule="auto"/>
        <w:ind w:left="220"/>
        <w:jc w:val="left"/>
        <w:rPr>
          <w:rFonts w:ascii="宋体" w:hAnsi="宋体" w:eastAsia="宋体" w:cs="宋体"/>
          <w:kern w:val="0"/>
          <w:sz w:val="21"/>
          <w:szCs w:val="21"/>
          <w:lang w:val="zh-CN" w:eastAsia="zh-CN" w:bidi="zh-CN"/>
        </w:rPr>
      </w:pPr>
      <w:r>
        <w:rPr>
          <w:rFonts w:ascii="宋体" w:hAnsi="宋体" w:eastAsia="宋体" w:cs="宋体"/>
          <w:kern w:val="0"/>
          <w:sz w:val="21"/>
          <w:szCs w:val="21"/>
          <w:lang w:val="zh-CN" w:eastAsia="zh-CN" w:bidi="zh-CN"/>
        </w:rPr>
        <w:t>投标人</w:t>
      </w:r>
      <w:r>
        <w:rPr>
          <w:rFonts w:hint="eastAsia" w:ascii="宋体" w:hAnsi="宋体" w:cs="宋体"/>
          <w:kern w:val="0"/>
          <w:sz w:val="21"/>
          <w:szCs w:val="21"/>
          <w:lang w:val="en-US" w:eastAsia="zh-CN" w:bidi="zh-CN"/>
        </w:rPr>
        <w:t>公章</w:t>
      </w:r>
      <w:r>
        <w:rPr>
          <w:rFonts w:ascii="宋体" w:hAnsi="宋体" w:eastAsia="宋体" w:cs="宋体"/>
          <w:kern w:val="0"/>
          <w:sz w:val="21"/>
          <w:szCs w:val="21"/>
          <w:lang w:val="zh-CN" w:eastAsia="zh-CN" w:bidi="zh-CN"/>
        </w:rPr>
        <w:t>：</w:t>
      </w:r>
    </w:p>
    <w:p w14:paraId="729CDCE6">
      <w:pPr>
        <w:widowControl w:val="0"/>
        <w:autoSpaceDE w:val="0"/>
        <w:autoSpaceDN w:val="0"/>
        <w:spacing w:before="80" w:line="360" w:lineRule="auto"/>
        <w:ind w:left="220"/>
        <w:jc w:val="left"/>
        <w:rPr>
          <w:rFonts w:hint="default" w:ascii="宋体" w:hAnsi="宋体" w:eastAsia="宋体"/>
          <w:szCs w:val="21"/>
          <w:lang w:val="en-US" w:eastAsia="zh-CN"/>
        </w:rPr>
        <w:sectPr>
          <w:pgSz w:w="11910" w:h="16840"/>
          <w:pgMar w:top="1380" w:right="1440" w:bottom="1500" w:left="1580" w:header="877" w:footer="1304" w:gutter="0"/>
          <w:pgNumType w:fmt="decimal"/>
          <w:cols w:space="720" w:num="1"/>
        </w:sectPr>
      </w:pPr>
      <w:r>
        <w:rPr>
          <w:rFonts w:hint="eastAsia" w:ascii="宋体" w:hAnsi="宋体"/>
          <w:szCs w:val="21"/>
          <w:lang w:val="en-US" w:eastAsia="zh-CN"/>
        </w:rPr>
        <w:t>法人签字：</w:t>
      </w:r>
    </w:p>
    <w:p w14:paraId="0B5F623F">
      <w:pPr>
        <w:keepNext w:val="0"/>
        <w:keepLines w:val="0"/>
        <w:widowControl w:val="0"/>
        <w:autoSpaceDE w:val="0"/>
        <w:autoSpaceDN w:val="0"/>
        <w:spacing w:before="240" w:beforeLines="100" w:after="240" w:afterLines="100" w:line="360" w:lineRule="auto"/>
        <w:ind w:left="1315"/>
        <w:jc w:val="center"/>
        <w:outlineLvl w:val="2"/>
        <w:rPr>
          <w:rFonts w:hint="default" w:ascii="宋体" w:hAnsi="宋体" w:eastAsia="宋体" w:cs="宋体"/>
          <w:b/>
          <w:bCs/>
          <w:kern w:val="0"/>
          <w:sz w:val="24"/>
          <w:szCs w:val="24"/>
          <w:lang w:val="en-US" w:eastAsia="zh-CN" w:bidi="zh-CN"/>
        </w:rPr>
      </w:pPr>
      <w:r>
        <w:rPr>
          <w:rFonts w:ascii="宋体" w:hAnsi="宋体" w:eastAsia="宋体" w:cs="宋体"/>
          <w:b/>
          <w:bCs/>
          <w:kern w:val="0"/>
          <w:sz w:val="24"/>
          <w:szCs w:val="24"/>
          <w:lang w:val="zh-CN" w:eastAsia="zh-CN" w:bidi="zh-CN"/>
        </w:rPr>
        <w:t>七、</w:t>
      </w:r>
      <w:r>
        <w:rPr>
          <w:rFonts w:hint="eastAsia" w:ascii="宋体" w:hAnsi="宋体" w:eastAsia="宋体" w:cs="宋体"/>
          <w:b/>
          <w:bCs/>
          <w:kern w:val="0"/>
          <w:sz w:val="24"/>
          <w:szCs w:val="24"/>
          <w:lang w:val="en-US" w:eastAsia="zh-CN" w:bidi="zh-CN"/>
        </w:rPr>
        <w:t>商务实力</w:t>
      </w:r>
    </w:p>
    <w:p w14:paraId="08756EF8">
      <w:pPr>
        <w:spacing w:before="120" w:beforeLines="50" w:after="120" w:afterLines="50" w:line="360" w:lineRule="auto"/>
        <w:ind w:firstLine="422" w:firstLineChars="200"/>
        <w:rPr>
          <w:rFonts w:ascii="宋体" w:hAnsi="宋体" w:eastAsia="宋体" w:cs="Times New Roman"/>
          <w:b/>
          <w:szCs w:val="22"/>
        </w:rPr>
      </w:pPr>
      <w:r>
        <w:rPr>
          <w:rFonts w:ascii="宋体" w:hAnsi="宋体" w:eastAsia="宋体" w:cs="Times New Roman"/>
          <w:b/>
          <w:szCs w:val="22"/>
        </w:rPr>
        <w:t>(投标人可自行制作格式)</w:t>
      </w:r>
    </w:p>
    <w:p w14:paraId="68E8B77F">
      <w:pPr>
        <w:spacing w:line="360" w:lineRule="auto"/>
        <w:rPr>
          <w:rFonts w:ascii="宋体" w:hAnsi="宋体"/>
          <w:szCs w:val="21"/>
        </w:rPr>
        <w:sectPr>
          <w:pgSz w:w="11910" w:h="16840"/>
          <w:pgMar w:top="1380" w:right="1440" w:bottom="1500" w:left="1580" w:header="877" w:footer="1304" w:gutter="0"/>
          <w:pgNumType w:fmt="decimal"/>
          <w:cols w:space="720" w:num="1"/>
        </w:sectPr>
      </w:pPr>
    </w:p>
    <w:p w14:paraId="151B8759">
      <w:pPr>
        <w:keepNext w:val="0"/>
        <w:keepLines w:val="0"/>
        <w:widowControl w:val="0"/>
        <w:autoSpaceDE w:val="0"/>
        <w:autoSpaceDN w:val="0"/>
        <w:spacing w:before="240" w:beforeLines="100" w:after="240" w:afterLines="100" w:line="360" w:lineRule="auto"/>
        <w:jc w:val="center"/>
        <w:outlineLvl w:val="2"/>
        <w:rPr>
          <w:rFonts w:ascii="宋体" w:hAnsi="宋体" w:eastAsia="宋体" w:cs="宋体"/>
          <w:b/>
          <w:bCs/>
          <w:kern w:val="0"/>
          <w:sz w:val="24"/>
          <w:szCs w:val="24"/>
          <w:lang w:val="zh-CN" w:eastAsia="zh-CN" w:bidi="zh-CN"/>
        </w:rPr>
      </w:pPr>
      <w:r>
        <w:rPr>
          <w:rFonts w:ascii="宋体" w:hAnsi="宋体" w:eastAsia="宋体" w:cs="宋体"/>
          <w:b/>
          <w:bCs/>
          <w:kern w:val="0"/>
          <w:sz w:val="24"/>
          <w:szCs w:val="24"/>
          <w:lang w:val="zh-CN" w:eastAsia="zh-CN" w:bidi="zh-CN"/>
        </w:rPr>
        <w:t>八、</w:t>
      </w:r>
      <w:r>
        <w:rPr>
          <w:rFonts w:hint="eastAsia" w:ascii="宋体" w:hAnsi="宋体" w:cs="宋体"/>
          <w:b/>
          <w:bCs/>
          <w:kern w:val="0"/>
          <w:sz w:val="24"/>
          <w:szCs w:val="24"/>
          <w:lang w:val="en-US" w:eastAsia="zh-CN" w:bidi="zh-CN"/>
        </w:rPr>
        <w:t>服务</w:t>
      </w:r>
      <w:r>
        <w:rPr>
          <w:rFonts w:hint="eastAsia" w:ascii="宋体" w:hAnsi="宋体" w:eastAsia="宋体" w:cs="宋体"/>
          <w:b/>
          <w:bCs/>
          <w:kern w:val="0"/>
          <w:sz w:val="24"/>
          <w:szCs w:val="24"/>
          <w:lang w:val="zh-CN" w:eastAsia="zh-CN" w:bidi="zh-CN"/>
        </w:rPr>
        <w:t>方案</w:t>
      </w:r>
    </w:p>
    <w:p w14:paraId="497D98AA">
      <w:pPr>
        <w:spacing w:before="120" w:beforeLines="50" w:after="120" w:afterLines="50" w:line="360" w:lineRule="auto"/>
        <w:ind w:firstLine="422" w:firstLineChars="200"/>
        <w:rPr>
          <w:rFonts w:ascii="宋体" w:hAnsi="宋体"/>
          <w:b/>
        </w:rPr>
        <w:sectPr>
          <w:pgSz w:w="11910" w:h="16840"/>
          <w:pgMar w:top="1380" w:right="1440" w:bottom="1500" w:left="1580" w:header="877" w:footer="1304" w:gutter="0"/>
          <w:pgNumType w:fmt="decimal"/>
          <w:cols w:space="720" w:num="1"/>
        </w:sectPr>
      </w:pPr>
      <w:r>
        <w:rPr>
          <w:rFonts w:ascii="宋体" w:hAnsi="宋体" w:eastAsia="宋体" w:cs="Times New Roman"/>
          <w:b/>
          <w:szCs w:val="22"/>
        </w:rPr>
        <w:t>(投标人可自行制作格式)</w:t>
      </w:r>
    </w:p>
    <w:p w14:paraId="5BC027F9">
      <w:pPr>
        <w:spacing w:before="312" w:beforeLines="100" w:after="312" w:afterLines="100"/>
        <w:jc w:val="center"/>
        <w:outlineLvl w:val="2"/>
        <w:rPr>
          <w:b/>
          <w:sz w:val="28"/>
          <w:szCs w:val="28"/>
        </w:rPr>
      </w:pPr>
      <w:r>
        <w:rPr>
          <w:rFonts w:hint="eastAsia"/>
          <w:b/>
          <w:sz w:val="28"/>
          <w:szCs w:val="28"/>
          <w:lang w:val="en-US" w:eastAsia="zh-CN"/>
        </w:rPr>
        <w:t>九</w:t>
      </w:r>
      <w:r>
        <w:rPr>
          <w:b/>
          <w:sz w:val="28"/>
          <w:szCs w:val="28"/>
        </w:rPr>
        <w:t>、</w:t>
      </w:r>
      <w:r>
        <w:rPr>
          <w:rFonts w:hint="eastAsia"/>
          <w:b/>
          <w:sz w:val="28"/>
          <w:szCs w:val="28"/>
        </w:rPr>
        <w:t xml:space="preserve">资格审查资料 </w:t>
      </w:r>
    </w:p>
    <w:p w14:paraId="01219DDE">
      <w:pPr>
        <w:spacing w:before="312" w:beforeLines="100" w:after="312" w:afterLines="100"/>
        <w:jc w:val="left"/>
        <w:outlineLvl w:val="2"/>
        <w:rPr>
          <w:rFonts w:ascii="宋体" w:hAnsi="宋体" w:eastAsia="宋体" w:cs="宋体"/>
          <w:b/>
          <w:kern w:val="0"/>
          <w:sz w:val="28"/>
          <w:szCs w:val="28"/>
          <w:lang w:val="zh-CN" w:eastAsia="zh-CN" w:bidi="zh-CN"/>
        </w:rPr>
      </w:pPr>
    </w:p>
    <w:p w14:paraId="058EA99E">
      <w:pPr>
        <w:spacing w:before="312" w:beforeLines="100" w:after="312" w:afterLines="100" w:line="360" w:lineRule="auto"/>
        <w:jc w:val="center"/>
        <w:rPr>
          <w:b/>
          <w:sz w:val="28"/>
          <w:szCs w:val="28"/>
        </w:rPr>
      </w:pPr>
      <w:r>
        <w:rPr>
          <w:b/>
          <w:sz w:val="28"/>
          <w:szCs w:val="28"/>
        </w:rPr>
        <w:t>特别提示：</w:t>
      </w:r>
    </w:p>
    <w:p w14:paraId="3FA58170">
      <w:pPr>
        <w:widowControl w:val="0"/>
        <w:autoSpaceDE w:val="0"/>
        <w:autoSpaceDN w:val="0"/>
        <w:spacing w:before="161" w:line="360" w:lineRule="auto"/>
        <w:ind w:left="220" w:right="359" w:firstLine="434"/>
        <w:jc w:val="both"/>
        <w:rPr>
          <w:rFonts w:ascii="宋体" w:hAnsi="宋体" w:eastAsia="宋体" w:cs="宋体"/>
          <w:kern w:val="0"/>
          <w:sz w:val="21"/>
          <w:szCs w:val="21"/>
          <w:lang w:val="zh-CN" w:eastAsia="zh-CN" w:bidi="zh-CN"/>
        </w:rPr>
      </w:pPr>
      <w:r>
        <w:rPr>
          <w:rFonts w:ascii="宋体" w:hAnsi="宋体" w:eastAsia="宋体" w:cs="宋体"/>
          <w:spacing w:val="-4"/>
          <w:kern w:val="0"/>
          <w:sz w:val="21"/>
          <w:szCs w:val="21"/>
          <w:lang w:val="zh-CN" w:eastAsia="zh-CN" w:bidi="zh-CN"/>
        </w:rPr>
        <w:t>供应商在响应文件制作时可在此栏内</w:t>
      </w:r>
      <w:r>
        <w:rPr>
          <w:rFonts w:hint="eastAsia" w:ascii="宋体" w:hAnsi="宋体" w:eastAsia="宋体" w:cs="宋体"/>
          <w:spacing w:val="-4"/>
          <w:kern w:val="0"/>
          <w:sz w:val="21"/>
          <w:szCs w:val="21"/>
          <w:lang w:val="en-US" w:eastAsia="zh-CN" w:bidi="zh-CN"/>
        </w:rPr>
        <w:t>附上</w:t>
      </w:r>
      <w:r>
        <w:rPr>
          <w:rFonts w:ascii="宋体" w:hAnsi="宋体" w:eastAsia="宋体" w:cs="宋体"/>
          <w:spacing w:val="-4"/>
          <w:kern w:val="0"/>
          <w:sz w:val="21"/>
          <w:szCs w:val="21"/>
          <w:lang w:val="zh-CN" w:eastAsia="zh-CN" w:bidi="zh-CN"/>
        </w:rPr>
        <w:t>磋商文件要求</w:t>
      </w:r>
      <w:r>
        <w:rPr>
          <w:rFonts w:hint="eastAsia" w:ascii="宋体" w:hAnsi="宋体" w:eastAsia="宋体" w:cs="宋体"/>
          <w:spacing w:val="-4"/>
          <w:kern w:val="0"/>
          <w:sz w:val="21"/>
          <w:szCs w:val="21"/>
          <w:lang w:val="en-US" w:eastAsia="zh-CN" w:bidi="zh-CN"/>
        </w:rPr>
        <w:t>提交</w:t>
      </w:r>
      <w:r>
        <w:rPr>
          <w:rFonts w:ascii="宋体" w:hAnsi="宋体" w:eastAsia="宋体" w:cs="宋体"/>
          <w:spacing w:val="-4"/>
          <w:kern w:val="0"/>
          <w:sz w:val="21"/>
          <w:szCs w:val="21"/>
          <w:lang w:val="zh-CN" w:eastAsia="zh-CN" w:bidi="zh-CN"/>
        </w:rPr>
        <w:t>的证明资料，如</w:t>
      </w:r>
      <w:r>
        <w:rPr>
          <w:rFonts w:ascii="宋体" w:hAnsi="宋体" w:eastAsia="宋体" w:cs="宋体"/>
          <w:spacing w:val="-10"/>
          <w:kern w:val="0"/>
          <w:sz w:val="21"/>
          <w:szCs w:val="21"/>
          <w:lang w:val="zh-CN" w:eastAsia="zh-CN" w:bidi="zh-CN"/>
        </w:rPr>
        <w:t>营业执照、</w:t>
      </w:r>
      <w:r>
        <w:rPr>
          <w:rFonts w:hint="eastAsia" w:ascii="宋体" w:hAnsi="宋体" w:eastAsia="宋体" w:cs="宋体"/>
          <w:spacing w:val="-10"/>
          <w:kern w:val="0"/>
          <w:sz w:val="21"/>
          <w:szCs w:val="21"/>
          <w:lang w:val="zh-CN" w:eastAsia="zh-CN" w:bidi="zh-CN"/>
        </w:rPr>
        <w:t>业绩证明材料、</w:t>
      </w:r>
      <w:r>
        <w:rPr>
          <w:rFonts w:ascii="宋体" w:hAnsi="宋体" w:eastAsia="宋体" w:cs="宋体"/>
          <w:spacing w:val="-10"/>
          <w:kern w:val="0"/>
          <w:sz w:val="21"/>
          <w:szCs w:val="21"/>
          <w:lang w:val="zh-CN" w:eastAsia="zh-CN" w:bidi="zh-CN"/>
        </w:rPr>
        <w:t>人员证书、资质证书、荣誉奖项等，应将上述证明材料</w:t>
      </w:r>
      <w:r>
        <w:rPr>
          <w:rFonts w:ascii="宋体" w:hAnsi="宋体" w:eastAsia="宋体" w:cs="宋体"/>
          <w:kern w:val="0"/>
          <w:sz w:val="21"/>
          <w:szCs w:val="21"/>
          <w:lang w:val="zh-CN" w:eastAsia="zh-CN" w:bidi="zh-CN"/>
        </w:rPr>
        <w:t>制作成</w:t>
      </w:r>
      <w:r>
        <w:rPr>
          <w:rFonts w:hint="eastAsia" w:ascii="宋体" w:hAnsi="宋体" w:eastAsia="宋体" w:cs="宋体"/>
          <w:kern w:val="0"/>
          <w:sz w:val="21"/>
          <w:szCs w:val="21"/>
          <w:lang w:val="zh-CN" w:eastAsia="zh-CN" w:bidi="zh-CN"/>
        </w:rPr>
        <w:t>扫描件或复印件</w:t>
      </w:r>
      <w:r>
        <w:rPr>
          <w:rFonts w:hint="eastAsia" w:ascii="宋体" w:hAnsi="宋体" w:eastAsia="宋体" w:cs="宋体"/>
          <w:kern w:val="0"/>
          <w:sz w:val="21"/>
          <w:szCs w:val="21"/>
          <w:lang w:val="en-US" w:eastAsia="zh-CN" w:bidi="zh-CN"/>
        </w:rPr>
        <w:t>放入响应文件中</w:t>
      </w:r>
      <w:r>
        <w:rPr>
          <w:rFonts w:ascii="宋体" w:hAnsi="宋体" w:eastAsia="宋体" w:cs="宋体"/>
          <w:kern w:val="0"/>
          <w:sz w:val="21"/>
          <w:szCs w:val="21"/>
          <w:lang w:val="zh-CN" w:eastAsia="zh-CN" w:bidi="zh-CN"/>
        </w:rPr>
        <w:t>。</w:t>
      </w:r>
    </w:p>
    <w:p w14:paraId="28364785">
      <w:pPr>
        <w:spacing w:line="360" w:lineRule="auto"/>
        <w:rPr>
          <w:rFonts w:ascii="宋体" w:hAnsi="宋体" w:cs="宋体"/>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0A543">
    <w:pPr>
      <w:pStyle w:val="1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94005" cy="2838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294005" cy="283845"/>
                      </a:xfrm>
                      <a:prstGeom prst="rect">
                        <a:avLst/>
                      </a:prstGeom>
                      <a:noFill/>
                      <a:ln>
                        <a:noFill/>
                      </a:ln>
                    </wps:spPr>
                    <wps:txbx>
                      <w:txbxContent>
                        <w:p w14:paraId="003FDC29">
                          <w:pPr>
                            <w:pStyle w:val="11"/>
                            <w:jc w:val="center"/>
                          </w:pPr>
                        </w:p>
                        <w:p w14:paraId="3D50CAE4">
                          <w:pPr>
                            <w:pStyle w:val="11"/>
                          </w:pPr>
                        </w:p>
                      </w:txbxContent>
                    </wps:txbx>
                    <wps:bodyPr lIns="0" tIns="0" rIns="0" bIns="0" upright="1"/>
                  </wps:wsp>
                </a:graphicData>
              </a:graphic>
            </wp:anchor>
          </w:drawing>
        </mc:Choice>
        <mc:Fallback>
          <w:pict>
            <v:shape id="_x0000_s1026" o:spid="_x0000_s1026" o:spt="202" type="#_x0000_t202" style="position:absolute;left:0pt;margin-top:0pt;height:22.35pt;width:23.15pt;mso-position-horizontal:center;mso-position-horizontal-relative:margin;z-index:251659264;mso-width-relative:page;mso-height-relative:page;" filled="f" stroked="f" coordsize="21600,21600" o:gfxdata="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nCn7B0wAAAAMBAAAPAAAAAAAAAAEAIAAAACIAAABkcnMvZG93bnJldi54bWxQSwECFAAUAAAA&#10;CACHTuJAafydvroBAABxAwAADgAAAAAAAAABACAAAAAiAQAAZHJzL2Uyb0RvYy54bWxQSwUGAAAA&#10;AAYABgBZAQAATgUAAAAA&#10;">
              <v:fill on="f" focussize="0,0"/>
              <v:stroke on="f"/>
              <v:imagedata o:title=""/>
              <o:lock v:ext="edit" aspectratio="f"/>
              <v:textbox inset="0mm,0mm,0mm,0mm">
                <w:txbxContent>
                  <w:p w14:paraId="003FDC29">
                    <w:pPr>
                      <w:pStyle w:val="11"/>
                      <w:jc w:val="center"/>
                    </w:pPr>
                  </w:p>
                  <w:p w14:paraId="3D50CAE4">
                    <w:pPr>
                      <w:pStyle w:val="11"/>
                    </w:pPr>
                  </w:p>
                </w:txbxContent>
              </v:textbox>
            </v:shape>
          </w:pict>
        </mc:Fallback>
      </mc:AlternateContent>
    </w:r>
  </w:p>
  <w:p w14:paraId="05A7EE0A">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2AEA1">
    <w:pPr>
      <w:pStyle w:val="11"/>
      <w:jc w:val="center"/>
      <w:rPr>
        <w:rFonts w:ascii="宋体" w:hAnsi="宋体"/>
        <w:sz w:val="21"/>
        <w:szCs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ABDB8">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C268CE">
                          <w:pPr>
                            <w:pStyle w:val="11"/>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51</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FC268CE">
                    <w:pPr>
                      <w:pStyle w:val="11"/>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51</w:t>
                    </w:r>
                    <w:r>
                      <w:t xml:space="preserve"> 页</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94005" cy="283845"/>
              <wp:effectExtent l="0" t="0" r="0" b="0"/>
              <wp:wrapNone/>
              <wp:docPr id="4" name="文本框 4"/>
              <wp:cNvGraphicFramePr/>
              <a:graphic xmlns:a="http://schemas.openxmlformats.org/drawingml/2006/main">
                <a:graphicData uri="http://schemas.microsoft.com/office/word/2010/wordprocessingShape">
                  <wps:wsp>
                    <wps:cNvSpPr txBox="1"/>
                    <wps:spPr>
                      <a:xfrm>
                        <a:off x="0" y="0"/>
                        <a:ext cx="294005" cy="283845"/>
                      </a:xfrm>
                      <a:prstGeom prst="rect">
                        <a:avLst/>
                      </a:prstGeom>
                      <a:noFill/>
                      <a:ln>
                        <a:noFill/>
                      </a:ln>
                    </wps:spPr>
                    <wps:txbx>
                      <w:txbxContent>
                        <w:p w14:paraId="7535E844">
                          <w:pPr>
                            <w:pStyle w:val="11"/>
                            <w:jc w:val="center"/>
                          </w:pPr>
                        </w:p>
                        <w:p w14:paraId="6EFBEB96">
                          <w:pPr>
                            <w:pStyle w:val="11"/>
                          </w:pPr>
                        </w:p>
                      </w:txbxContent>
                    </wps:txbx>
                    <wps:bodyPr lIns="0" tIns="0" rIns="0" bIns="0" upright="1"/>
                  </wps:wsp>
                </a:graphicData>
              </a:graphic>
            </wp:anchor>
          </w:drawing>
        </mc:Choice>
        <mc:Fallback>
          <w:pict>
            <v:shape id="_x0000_s1026" o:spid="_x0000_s1026" o:spt="202" type="#_x0000_t202" style="position:absolute;left:0pt;margin-top:0pt;height:22.35pt;width:23.15pt;mso-position-horizontal:center;mso-position-horizontal-relative:margin;z-index:251660288;mso-width-relative:page;mso-height-relative:page;" filled="f" stroked="f" coordsize="21600,21600" o:gfxdata="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nCn7B0wAAAAMBAAAPAAAAAAAAAAEAIAAAACIAAABkcnMvZG93bnJldi54bWxQSwECFAAUAAAA&#10;CACHTuJA1dSLwroBAABxAwAADgAAAAAAAAABACAAAAAiAQAAZHJzL2Uyb0RvYy54bWxQSwUGAAAA&#10;AAYABgBZAQAATgUAAAAA&#10;">
              <v:fill on="f" focussize="0,0"/>
              <v:stroke on="f"/>
              <v:imagedata o:title=""/>
              <o:lock v:ext="edit" aspectratio="f"/>
              <v:textbox inset="0mm,0mm,0mm,0mm">
                <w:txbxContent>
                  <w:p w14:paraId="7535E844">
                    <w:pPr>
                      <w:pStyle w:val="11"/>
                      <w:jc w:val="center"/>
                    </w:pPr>
                  </w:p>
                  <w:p w14:paraId="6EFBEB96">
                    <w:pPr>
                      <w:pStyle w:val="11"/>
                    </w:pPr>
                  </w:p>
                </w:txbxContent>
              </v:textbox>
            </v:shape>
          </w:pict>
        </mc:Fallback>
      </mc:AlternateContent>
    </w:r>
  </w:p>
  <w:p w14:paraId="7DC68355">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11C93">
    <w:pPr>
      <w:pStyle w:val="11"/>
      <w:jc w:val="center"/>
      <w:rPr>
        <w:rFonts w:ascii="宋体" w:hAnsi="宋体"/>
        <w:sz w:val="21"/>
        <w:szCs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32EAE9">
                          <w:pPr>
                            <w:pStyle w:val="11"/>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51</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032EAE9">
                    <w:pPr>
                      <w:pStyle w:val="11"/>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51</w:t>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5CEE2">
    <w:pPr>
      <w:pStyle w:val="11"/>
      <w:spacing w:beforeLines="0" w:afterLines="0"/>
      <w:rPr>
        <w:rFonts w:hint="eastAsia"/>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6F4F56">
                          <w:pPr>
                            <w:pStyle w:val="11"/>
                          </w:pPr>
                          <w:r>
                            <w:t xml:space="preserve">第 </w:t>
                          </w:r>
                          <w:r>
                            <w:fldChar w:fldCharType="begin"/>
                          </w:r>
                          <w:r>
                            <w:instrText xml:space="preserve"> PAGE  \* MERGEFORMAT </w:instrText>
                          </w:r>
                          <w:r>
                            <w:fldChar w:fldCharType="separate"/>
                          </w:r>
                          <w:r>
                            <w:t>24</w:t>
                          </w:r>
                          <w:r>
                            <w:fldChar w:fldCharType="end"/>
                          </w:r>
                          <w:r>
                            <w:t xml:space="preserve"> 页 共 </w:t>
                          </w:r>
                          <w:r>
                            <w:rPr>
                              <w:rFonts w:hint="eastAsia"/>
                              <w:lang w:val="en-US" w:eastAsia="zh-CN"/>
                            </w:rPr>
                            <w:t>51</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36F4F56">
                    <w:pPr>
                      <w:pStyle w:val="11"/>
                    </w:pPr>
                    <w:r>
                      <w:t xml:space="preserve">第 </w:t>
                    </w:r>
                    <w:r>
                      <w:fldChar w:fldCharType="begin"/>
                    </w:r>
                    <w:r>
                      <w:instrText xml:space="preserve"> PAGE  \* MERGEFORMAT </w:instrText>
                    </w:r>
                    <w:r>
                      <w:fldChar w:fldCharType="separate"/>
                    </w:r>
                    <w:r>
                      <w:t>24</w:t>
                    </w:r>
                    <w:r>
                      <w:fldChar w:fldCharType="end"/>
                    </w:r>
                    <w:r>
                      <w:t xml:space="preserve"> 页 共 </w:t>
                    </w:r>
                    <w:r>
                      <w:rPr>
                        <w:rFonts w:hint="eastAsia"/>
                        <w:lang w:val="en-US" w:eastAsia="zh-CN"/>
                      </w:rPr>
                      <w:t>51</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54837">
    <w:pPr>
      <w:tabs>
        <w:tab w:val="left" w:pos="142"/>
        <w:tab w:val="left" w:pos="426"/>
      </w:tabs>
      <w:spacing w:beforeLines="0" w:afterLines="0"/>
      <w:jc w:val="right"/>
      <w:rPr>
        <w:rFonts w:hint="default" w:ascii="宋体" w:hAnsi="宋体" w:eastAsia="宋体" w:cs="Arial"/>
        <w:color w:val="000000"/>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A1590B"/>
    <w:multiLevelType w:val="singleLevel"/>
    <w:tmpl w:val="A1A1590B"/>
    <w:lvl w:ilvl="0" w:tentative="0">
      <w:start w:val="6"/>
      <w:numFmt w:val="decimal"/>
      <w:lvlText w:val="%1."/>
      <w:lvlJc w:val="left"/>
      <w:pPr>
        <w:tabs>
          <w:tab w:val="left" w:pos="312"/>
        </w:tabs>
      </w:pPr>
    </w:lvl>
  </w:abstractNum>
  <w:abstractNum w:abstractNumId="1">
    <w:nsid w:val="FC6FCFF2"/>
    <w:multiLevelType w:val="singleLevel"/>
    <w:tmpl w:val="FC6FCFF2"/>
    <w:lvl w:ilvl="0" w:tentative="0">
      <w:start w:val="1"/>
      <w:numFmt w:val="decimal"/>
      <w:lvlText w:val="%1."/>
      <w:lvlJc w:val="left"/>
      <w:pPr>
        <w:tabs>
          <w:tab w:val="left" w:pos="312"/>
        </w:tabs>
      </w:pPr>
    </w:lvl>
  </w:abstractNum>
  <w:abstractNum w:abstractNumId="2">
    <w:nsid w:val="1D283C63"/>
    <w:multiLevelType w:val="multilevel"/>
    <w:tmpl w:val="1D283C63"/>
    <w:lvl w:ilvl="0" w:tentative="0">
      <w:start w:val="1"/>
      <w:numFmt w:val="decimal"/>
      <w:lvlText w:val="（%1）"/>
      <w:lvlJc w:val="left"/>
      <w:pPr>
        <w:ind w:left="1255"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22" w:hanging="601"/>
      </w:pPr>
      <w:rPr>
        <w:rFonts w:hint="default"/>
        <w:lang w:val="zh-CN" w:eastAsia="zh-CN" w:bidi="zh-CN"/>
      </w:rPr>
    </w:lvl>
    <w:lvl w:ilvl="2" w:tentative="0">
      <w:start w:val="0"/>
      <w:numFmt w:val="bullet"/>
      <w:lvlText w:val="•"/>
      <w:lvlJc w:val="left"/>
      <w:pPr>
        <w:ind w:left="2785" w:hanging="601"/>
      </w:pPr>
      <w:rPr>
        <w:rFonts w:hint="default"/>
        <w:lang w:val="zh-CN" w:eastAsia="zh-CN" w:bidi="zh-CN"/>
      </w:rPr>
    </w:lvl>
    <w:lvl w:ilvl="3" w:tentative="0">
      <w:start w:val="0"/>
      <w:numFmt w:val="bullet"/>
      <w:lvlText w:val="•"/>
      <w:lvlJc w:val="left"/>
      <w:pPr>
        <w:ind w:left="3547" w:hanging="601"/>
      </w:pPr>
      <w:rPr>
        <w:rFonts w:hint="default"/>
        <w:lang w:val="zh-CN" w:eastAsia="zh-CN" w:bidi="zh-CN"/>
      </w:rPr>
    </w:lvl>
    <w:lvl w:ilvl="4" w:tentative="0">
      <w:start w:val="0"/>
      <w:numFmt w:val="bullet"/>
      <w:lvlText w:val="•"/>
      <w:lvlJc w:val="left"/>
      <w:pPr>
        <w:ind w:left="4310" w:hanging="601"/>
      </w:pPr>
      <w:rPr>
        <w:rFonts w:hint="default"/>
        <w:lang w:val="zh-CN" w:eastAsia="zh-CN" w:bidi="zh-CN"/>
      </w:rPr>
    </w:lvl>
    <w:lvl w:ilvl="5" w:tentative="0">
      <w:start w:val="0"/>
      <w:numFmt w:val="bullet"/>
      <w:lvlText w:val="•"/>
      <w:lvlJc w:val="left"/>
      <w:pPr>
        <w:ind w:left="5073" w:hanging="601"/>
      </w:pPr>
      <w:rPr>
        <w:rFonts w:hint="default"/>
        <w:lang w:val="zh-CN" w:eastAsia="zh-CN" w:bidi="zh-CN"/>
      </w:rPr>
    </w:lvl>
    <w:lvl w:ilvl="6" w:tentative="0">
      <w:start w:val="0"/>
      <w:numFmt w:val="bullet"/>
      <w:lvlText w:val="•"/>
      <w:lvlJc w:val="left"/>
      <w:pPr>
        <w:ind w:left="5835" w:hanging="601"/>
      </w:pPr>
      <w:rPr>
        <w:rFonts w:hint="default"/>
        <w:lang w:val="zh-CN" w:eastAsia="zh-CN" w:bidi="zh-CN"/>
      </w:rPr>
    </w:lvl>
    <w:lvl w:ilvl="7" w:tentative="0">
      <w:start w:val="0"/>
      <w:numFmt w:val="bullet"/>
      <w:lvlText w:val="•"/>
      <w:lvlJc w:val="left"/>
      <w:pPr>
        <w:ind w:left="6598" w:hanging="601"/>
      </w:pPr>
      <w:rPr>
        <w:rFonts w:hint="default"/>
        <w:lang w:val="zh-CN" w:eastAsia="zh-CN" w:bidi="zh-CN"/>
      </w:rPr>
    </w:lvl>
    <w:lvl w:ilvl="8" w:tentative="0">
      <w:start w:val="0"/>
      <w:numFmt w:val="bullet"/>
      <w:lvlText w:val="•"/>
      <w:lvlJc w:val="left"/>
      <w:pPr>
        <w:ind w:left="7361" w:hanging="601"/>
      </w:pPr>
      <w:rPr>
        <w:rFonts w:hint="default"/>
        <w:lang w:val="zh-CN" w:eastAsia="zh-CN" w:bidi="zh-CN"/>
      </w:rPr>
    </w:lvl>
  </w:abstractNum>
  <w:abstractNum w:abstractNumId="3">
    <w:nsid w:val="3D9289D5"/>
    <w:multiLevelType w:val="singleLevel"/>
    <w:tmpl w:val="3D9289D5"/>
    <w:lvl w:ilvl="0" w:tentative="0">
      <w:start w:val="8"/>
      <w:numFmt w:val="decimal"/>
      <w:suff w:val="space"/>
      <w:lvlText w:val="%1."/>
      <w:lvlJc w:val="left"/>
    </w:lvl>
  </w:abstractNum>
  <w:abstractNum w:abstractNumId="4">
    <w:nsid w:val="42E3383E"/>
    <w:multiLevelType w:val="multilevel"/>
    <w:tmpl w:val="42E3383E"/>
    <w:lvl w:ilvl="0" w:tentative="0">
      <w:start w:val="1"/>
      <w:numFmt w:val="decimal"/>
      <w:lvlText w:val="%1."/>
      <w:lvlJc w:val="left"/>
      <w:pPr>
        <w:ind w:left="220" w:hanging="241"/>
      </w:pPr>
      <w:rPr>
        <w:rFonts w:hint="eastAsia" w:ascii="宋体" w:hAnsi="宋体" w:eastAsia="宋体" w:cs="宋体"/>
        <w:b w:val="0"/>
        <w:i w:val="0"/>
        <w:spacing w:val="0"/>
        <w:w w:val="100"/>
        <w:sz w:val="22"/>
        <w:szCs w:val="22"/>
        <w:lang w:val="zh-CN" w:eastAsia="zh-CN" w:bidi="zh-CN"/>
      </w:rPr>
    </w:lvl>
    <w:lvl w:ilvl="1" w:tentative="0">
      <w:start w:val="0"/>
      <w:numFmt w:val="bullet"/>
      <w:lvlText w:val="•"/>
      <w:lvlJc w:val="left"/>
      <w:pPr>
        <w:ind w:left="1086" w:hanging="241"/>
      </w:pPr>
      <w:rPr>
        <w:rFonts w:hint="default"/>
        <w:lang w:val="zh-CN" w:eastAsia="zh-CN" w:bidi="zh-CN"/>
      </w:rPr>
    </w:lvl>
    <w:lvl w:ilvl="2" w:tentative="0">
      <w:start w:val="0"/>
      <w:numFmt w:val="bullet"/>
      <w:lvlText w:val="•"/>
      <w:lvlJc w:val="left"/>
      <w:pPr>
        <w:ind w:left="1953" w:hanging="241"/>
      </w:pPr>
      <w:rPr>
        <w:rFonts w:hint="default"/>
        <w:lang w:val="zh-CN" w:eastAsia="zh-CN" w:bidi="zh-CN"/>
      </w:rPr>
    </w:lvl>
    <w:lvl w:ilvl="3" w:tentative="0">
      <w:start w:val="0"/>
      <w:numFmt w:val="bullet"/>
      <w:lvlText w:val="•"/>
      <w:lvlJc w:val="left"/>
      <w:pPr>
        <w:ind w:left="2819" w:hanging="241"/>
      </w:pPr>
      <w:rPr>
        <w:rFonts w:hint="default"/>
        <w:lang w:val="zh-CN" w:eastAsia="zh-CN" w:bidi="zh-CN"/>
      </w:rPr>
    </w:lvl>
    <w:lvl w:ilvl="4" w:tentative="0">
      <w:start w:val="0"/>
      <w:numFmt w:val="bullet"/>
      <w:lvlText w:val="•"/>
      <w:lvlJc w:val="left"/>
      <w:pPr>
        <w:ind w:left="3686" w:hanging="241"/>
      </w:pPr>
      <w:rPr>
        <w:rFonts w:hint="default"/>
        <w:lang w:val="zh-CN" w:eastAsia="zh-CN" w:bidi="zh-CN"/>
      </w:rPr>
    </w:lvl>
    <w:lvl w:ilvl="5" w:tentative="0">
      <w:start w:val="0"/>
      <w:numFmt w:val="bullet"/>
      <w:lvlText w:val="•"/>
      <w:lvlJc w:val="left"/>
      <w:pPr>
        <w:ind w:left="4553" w:hanging="241"/>
      </w:pPr>
      <w:rPr>
        <w:rFonts w:hint="default"/>
        <w:lang w:val="zh-CN" w:eastAsia="zh-CN" w:bidi="zh-CN"/>
      </w:rPr>
    </w:lvl>
    <w:lvl w:ilvl="6" w:tentative="0">
      <w:start w:val="0"/>
      <w:numFmt w:val="bullet"/>
      <w:lvlText w:val="•"/>
      <w:lvlJc w:val="left"/>
      <w:pPr>
        <w:ind w:left="5419" w:hanging="241"/>
      </w:pPr>
      <w:rPr>
        <w:rFonts w:hint="default"/>
        <w:lang w:val="zh-CN" w:eastAsia="zh-CN" w:bidi="zh-CN"/>
      </w:rPr>
    </w:lvl>
    <w:lvl w:ilvl="7" w:tentative="0">
      <w:start w:val="0"/>
      <w:numFmt w:val="bullet"/>
      <w:lvlText w:val="•"/>
      <w:lvlJc w:val="left"/>
      <w:pPr>
        <w:ind w:left="6286" w:hanging="241"/>
      </w:pPr>
      <w:rPr>
        <w:rFonts w:hint="default"/>
        <w:lang w:val="zh-CN" w:eastAsia="zh-CN" w:bidi="zh-CN"/>
      </w:rPr>
    </w:lvl>
    <w:lvl w:ilvl="8" w:tentative="0">
      <w:start w:val="0"/>
      <w:numFmt w:val="bullet"/>
      <w:lvlText w:val="•"/>
      <w:lvlJc w:val="left"/>
      <w:pPr>
        <w:ind w:left="7153" w:hanging="241"/>
      </w:pPr>
      <w:rPr>
        <w:rFonts w:hint="default"/>
        <w:lang w:val="zh-CN" w:eastAsia="zh-CN" w:bidi="zh-CN"/>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6030"/>
    <w:rsid w:val="00034F97"/>
    <w:rsid w:val="00050FD2"/>
    <w:rsid w:val="0009420D"/>
    <w:rsid w:val="0009679D"/>
    <w:rsid w:val="000A2E69"/>
    <w:rsid w:val="000A2FBF"/>
    <w:rsid w:val="000C3A15"/>
    <w:rsid w:val="000C7C5C"/>
    <w:rsid w:val="000D1B68"/>
    <w:rsid w:val="001235E0"/>
    <w:rsid w:val="0014747D"/>
    <w:rsid w:val="0015134F"/>
    <w:rsid w:val="001A5283"/>
    <w:rsid w:val="001C22C4"/>
    <w:rsid w:val="00206290"/>
    <w:rsid w:val="00232BDF"/>
    <w:rsid w:val="002573FA"/>
    <w:rsid w:val="002602F5"/>
    <w:rsid w:val="002804B1"/>
    <w:rsid w:val="002876E2"/>
    <w:rsid w:val="00296730"/>
    <w:rsid w:val="002C2564"/>
    <w:rsid w:val="002C3B91"/>
    <w:rsid w:val="00323428"/>
    <w:rsid w:val="00327E00"/>
    <w:rsid w:val="00331971"/>
    <w:rsid w:val="00371C93"/>
    <w:rsid w:val="00373075"/>
    <w:rsid w:val="00381815"/>
    <w:rsid w:val="00397C78"/>
    <w:rsid w:val="003A4B38"/>
    <w:rsid w:val="003C00C8"/>
    <w:rsid w:val="003C2607"/>
    <w:rsid w:val="003C2C48"/>
    <w:rsid w:val="003D3A18"/>
    <w:rsid w:val="00443077"/>
    <w:rsid w:val="00473DA8"/>
    <w:rsid w:val="004B5DB7"/>
    <w:rsid w:val="004F5A17"/>
    <w:rsid w:val="00526880"/>
    <w:rsid w:val="00566F60"/>
    <w:rsid w:val="005A7851"/>
    <w:rsid w:val="00650000"/>
    <w:rsid w:val="006527CF"/>
    <w:rsid w:val="00671944"/>
    <w:rsid w:val="006876B9"/>
    <w:rsid w:val="00695E15"/>
    <w:rsid w:val="006A4A05"/>
    <w:rsid w:val="006F000A"/>
    <w:rsid w:val="006F0F4D"/>
    <w:rsid w:val="006F2098"/>
    <w:rsid w:val="006F6525"/>
    <w:rsid w:val="007200E4"/>
    <w:rsid w:val="00721FF6"/>
    <w:rsid w:val="007C649A"/>
    <w:rsid w:val="007C7E1B"/>
    <w:rsid w:val="007D2356"/>
    <w:rsid w:val="007D4DB4"/>
    <w:rsid w:val="007F407E"/>
    <w:rsid w:val="007F5350"/>
    <w:rsid w:val="00845766"/>
    <w:rsid w:val="00847A5B"/>
    <w:rsid w:val="00866FC5"/>
    <w:rsid w:val="008741CD"/>
    <w:rsid w:val="00874E5F"/>
    <w:rsid w:val="00892635"/>
    <w:rsid w:val="008A6D39"/>
    <w:rsid w:val="008B0372"/>
    <w:rsid w:val="008D1567"/>
    <w:rsid w:val="008D7A7A"/>
    <w:rsid w:val="008F26C5"/>
    <w:rsid w:val="009014FD"/>
    <w:rsid w:val="00912FA3"/>
    <w:rsid w:val="00956250"/>
    <w:rsid w:val="00970B07"/>
    <w:rsid w:val="009D0FFC"/>
    <w:rsid w:val="009E2EA1"/>
    <w:rsid w:val="00A12741"/>
    <w:rsid w:val="00A2649F"/>
    <w:rsid w:val="00AC6A07"/>
    <w:rsid w:val="00B27004"/>
    <w:rsid w:val="00B30152"/>
    <w:rsid w:val="00B34EFF"/>
    <w:rsid w:val="00B65AFD"/>
    <w:rsid w:val="00BA0D56"/>
    <w:rsid w:val="00BE2CF1"/>
    <w:rsid w:val="00C111A7"/>
    <w:rsid w:val="00C40BC3"/>
    <w:rsid w:val="00C437B6"/>
    <w:rsid w:val="00C53830"/>
    <w:rsid w:val="00C8766F"/>
    <w:rsid w:val="00C95BE8"/>
    <w:rsid w:val="00CC0692"/>
    <w:rsid w:val="00CD513F"/>
    <w:rsid w:val="00CD6446"/>
    <w:rsid w:val="00D2732D"/>
    <w:rsid w:val="00D34919"/>
    <w:rsid w:val="00D4154F"/>
    <w:rsid w:val="00D52EA2"/>
    <w:rsid w:val="00D77F08"/>
    <w:rsid w:val="00D97967"/>
    <w:rsid w:val="00DC3AC0"/>
    <w:rsid w:val="00E046B0"/>
    <w:rsid w:val="00E37108"/>
    <w:rsid w:val="00E70A70"/>
    <w:rsid w:val="00E74DC2"/>
    <w:rsid w:val="00E751D2"/>
    <w:rsid w:val="00EC3B14"/>
    <w:rsid w:val="00EE0EB7"/>
    <w:rsid w:val="00EE4333"/>
    <w:rsid w:val="00F3011E"/>
    <w:rsid w:val="00F35F31"/>
    <w:rsid w:val="00F506AD"/>
    <w:rsid w:val="00F54657"/>
    <w:rsid w:val="00F64A9E"/>
    <w:rsid w:val="00F74987"/>
    <w:rsid w:val="00F84020"/>
    <w:rsid w:val="00F84083"/>
    <w:rsid w:val="011473B7"/>
    <w:rsid w:val="013C0C81"/>
    <w:rsid w:val="016A6065"/>
    <w:rsid w:val="01A83742"/>
    <w:rsid w:val="01EF5290"/>
    <w:rsid w:val="025D6B3C"/>
    <w:rsid w:val="02A70BEA"/>
    <w:rsid w:val="02F70EC5"/>
    <w:rsid w:val="030B2A3C"/>
    <w:rsid w:val="032064E7"/>
    <w:rsid w:val="03435D32"/>
    <w:rsid w:val="03807D95"/>
    <w:rsid w:val="039D2197"/>
    <w:rsid w:val="03BD7DF2"/>
    <w:rsid w:val="03E200B1"/>
    <w:rsid w:val="03F719EF"/>
    <w:rsid w:val="041B6FCE"/>
    <w:rsid w:val="04342385"/>
    <w:rsid w:val="04A44EF6"/>
    <w:rsid w:val="04E80BF9"/>
    <w:rsid w:val="04FB71B9"/>
    <w:rsid w:val="050D6498"/>
    <w:rsid w:val="05830AE6"/>
    <w:rsid w:val="05C0366A"/>
    <w:rsid w:val="05CC0260"/>
    <w:rsid w:val="05F652DD"/>
    <w:rsid w:val="06141C07"/>
    <w:rsid w:val="06295003"/>
    <w:rsid w:val="06386F84"/>
    <w:rsid w:val="06A0349B"/>
    <w:rsid w:val="06B156A8"/>
    <w:rsid w:val="07140111"/>
    <w:rsid w:val="074107DA"/>
    <w:rsid w:val="074233DB"/>
    <w:rsid w:val="07434552"/>
    <w:rsid w:val="076800EE"/>
    <w:rsid w:val="078F546A"/>
    <w:rsid w:val="07BD6BA1"/>
    <w:rsid w:val="07D5160F"/>
    <w:rsid w:val="07FB307F"/>
    <w:rsid w:val="07FE3422"/>
    <w:rsid w:val="08485B98"/>
    <w:rsid w:val="084F6F27"/>
    <w:rsid w:val="0854453D"/>
    <w:rsid w:val="088B7855"/>
    <w:rsid w:val="08B84ACC"/>
    <w:rsid w:val="08F35280"/>
    <w:rsid w:val="094425D2"/>
    <w:rsid w:val="0980202D"/>
    <w:rsid w:val="099A0675"/>
    <w:rsid w:val="0A2F0DBE"/>
    <w:rsid w:val="0A360626"/>
    <w:rsid w:val="0A4707FD"/>
    <w:rsid w:val="0A943317"/>
    <w:rsid w:val="0A9926DB"/>
    <w:rsid w:val="0AAE43D8"/>
    <w:rsid w:val="0AC87B49"/>
    <w:rsid w:val="0AE347C1"/>
    <w:rsid w:val="0B612388"/>
    <w:rsid w:val="0B6C4BCF"/>
    <w:rsid w:val="0B821FFC"/>
    <w:rsid w:val="0BDD39B5"/>
    <w:rsid w:val="0BF422BF"/>
    <w:rsid w:val="0C1C35C4"/>
    <w:rsid w:val="0C453FE2"/>
    <w:rsid w:val="0C580AA0"/>
    <w:rsid w:val="0CD940FB"/>
    <w:rsid w:val="0D177AE1"/>
    <w:rsid w:val="0D611BD6"/>
    <w:rsid w:val="0D8E04F1"/>
    <w:rsid w:val="0DF42106"/>
    <w:rsid w:val="0E2B0F35"/>
    <w:rsid w:val="0E8C3658"/>
    <w:rsid w:val="0EA7186A"/>
    <w:rsid w:val="0F384BB8"/>
    <w:rsid w:val="0F5E20A8"/>
    <w:rsid w:val="0F7C6B81"/>
    <w:rsid w:val="0FA84C7E"/>
    <w:rsid w:val="0FCD5301"/>
    <w:rsid w:val="0FD3668F"/>
    <w:rsid w:val="100F2314"/>
    <w:rsid w:val="10150A56"/>
    <w:rsid w:val="106A157A"/>
    <w:rsid w:val="10A27318"/>
    <w:rsid w:val="10EC3EC8"/>
    <w:rsid w:val="10F8556A"/>
    <w:rsid w:val="112F5B47"/>
    <w:rsid w:val="11472163"/>
    <w:rsid w:val="11617FE7"/>
    <w:rsid w:val="12527D3F"/>
    <w:rsid w:val="12596992"/>
    <w:rsid w:val="1280451A"/>
    <w:rsid w:val="12895ABF"/>
    <w:rsid w:val="12902616"/>
    <w:rsid w:val="12920D8B"/>
    <w:rsid w:val="12D60970"/>
    <w:rsid w:val="12E070F9"/>
    <w:rsid w:val="12E97CCB"/>
    <w:rsid w:val="135A086B"/>
    <w:rsid w:val="13912AE9"/>
    <w:rsid w:val="13960100"/>
    <w:rsid w:val="13FD3CDB"/>
    <w:rsid w:val="140453BB"/>
    <w:rsid w:val="142B670C"/>
    <w:rsid w:val="143F0797"/>
    <w:rsid w:val="148E0DD7"/>
    <w:rsid w:val="149A777C"/>
    <w:rsid w:val="14DB226E"/>
    <w:rsid w:val="154816E2"/>
    <w:rsid w:val="15723F23"/>
    <w:rsid w:val="15DB004C"/>
    <w:rsid w:val="160E6673"/>
    <w:rsid w:val="168E50BE"/>
    <w:rsid w:val="16CA259A"/>
    <w:rsid w:val="172018BE"/>
    <w:rsid w:val="17415D26"/>
    <w:rsid w:val="17490406"/>
    <w:rsid w:val="179B3F36"/>
    <w:rsid w:val="17CF598E"/>
    <w:rsid w:val="17D31922"/>
    <w:rsid w:val="18720FD0"/>
    <w:rsid w:val="1876405C"/>
    <w:rsid w:val="18CA1B0C"/>
    <w:rsid w:val="18E05444"/>
    <w:rsid w:val="18E92A80"/>
    <w:rsid w:val="19D53F75"/>
    <w:rsid w:val="1A073B05"/>
    <w:rsid w:val="1A644AB4"/>
    <w:rsid w:val="1A6745A4"/>
    <w:rsid w:val="1AB23A71"/>
    <w:rsid w:val="1AD649CB"/>
    <w:rsid w:val="1AE53219"/>
    <w:rsid w:val="1B256F00"/>
    <w:rsid w:val="1B375D24"/>
    <w:rsid w:val="1B682381"/>
    <w:rsid w:val="1BE063BC"/>
    <w:rsid w:val="1BF10F9F"/>
    <w:rsid w:val="1C401769"/>
    <w:rsid w:val="1D4D3886"/>
    <w:rsid w:val="1D8C58E2"/>
    <w:rsid w:val="1DA43419"/>
    <w:rsid w:val="1DB56355"/>
    <w:rsid w:val="1DD74A63"/>
    <w:rsid w:val="1DF743A5"/>
    <w:rsid w:val="1E4F1945"/>
    <w:rsid w:val="1ECF520F"/>
    <w:rsid w:val="1F3D42DA"/>
    <w:rsid w:val="1F560814"/>
    <w:rsid w:val="1F771BF8"/>
    <w:rsid w:val="1FA63478"/>
    <w:rsid w:val="1FA910FD"/>
    <w:rsid w:val="1FE22E73"/>
    <w:rsid w:val="1FE902D0"/>
    <w:rsid w:val="200F67F0"/>
    <w:rsid w:val="204213F3"/>
    <w:rsid w:val="206174CB"/>
    <w:rsid w:val="206B6B4F"/>
    <w:rsid w:val="20994D8B"/>
    <w:rsid w:val="20CB0F0E"/>
    <w:rsid w:val="20D35B0D"/>
    <w:rsid w:val="20E51210"/>
    <w:rsid w:val="20E55C2B"/>
    <w:rsid w:val="212154AC"/>
    <w:rsid w:val="21240AF9"/>
    <w:rsid w:val="215B0293"/>
    <w:rsid w:val="21A1039B"/>
    <w:rsid w:val="21E01604"/>
    <w:rsid w:val="222C1217"/>
    <w:rsid w:val="226F2247"/>
    <w:rsid w:val="227A731F"/>
    <w:rsid w:val="22857CBD"/>
    <w:rsid w:val="22995A95"/>
    <w:rsid w:val="22D872E9"/>
    <w:rsid w:val="22EF3388"/>
    <w:rsid w:val="2369138D"/>
    <w:rsid w:val="238B1303"/>
    <w:rsid w:val="239634D6"/>
    <w:rsid w:val="23AD3644"/>
    <w:rsid w:val="23CA00F7"/>
    <w:rsid w:val="241A4435"/>
    <w:rsid w:val="24612064"/>
    <w:rsid w:val="24AC1531"/>
    <w:rsid w:val="251F7F55"/>
    <w:rsid w:val="253104B8"/>
    <w:rsid w:val="253634F0"/>
    <w:rsid w:val="25496D80"/>
    <w:rsid w:val="2573204F"/>
    <w:rsid w:val="25DD3CC5"/>
    <w:rsid w:val="25EF62FF"/>
    <w:rsid w:val="25F54BC3"/>
    <w:rsid w:val="260C3775"/>
    <w:rsid w:val="261D1FBA"/>
    <w:rsid w:val="26307F40"/>
    <w:rsid w:val="264E03C6"/>
    <w:rsid w:val="264E251D"/>
    <w:rsid w:val="26795443"/>
    <w:rsid w:val="26946721"/>
    <w:rsid w:val="26E1123A"/>
    <w:rsid w:val="26F33C66"/>
    <w:rsid w:val="271E248E"/>
    <w:rsid w:val="276204FB"/>
    <w:rsid w:val="27980153"/>
    <w:rsid w:val="27A74232"/>
    <w:rsid w:val="27D86AE1"/>
    <w:rsid w:val="27E35C18"/>
    <w:rsid w:val="280A3E2C"/>
    <w:rsid w:val="28887BBF"/>
    <w:rsid w:val="288E03F2"/>
    <w:rsid w:val="28A075FF"/>
    <w:rsid w:val="28DC7F0B"/>
    <w:rsid w:val="29283150"/>
    <w:rsid w:val="293444FF"/>
    <w:rsid w:val="2951382D"/>
    <w:rsid w:val="29916F47"/>
    <w:rsid w:val="29AE2753"/>
    <w:rsid w:val="29D15596"/>
    <w:rsid w:val="29FA3366"/>
    <w:rsid w:val="2A19357D"/>
    <w:rsid w:val="2A353D77"/>
    <w:rsid w:val="2A53244F"/>
    <w:rsid w:val="2B312790"/>
    <w:rsid w:val="2B41674B"/>
    <w:rsid w:val="2B7103C3"/>
    <w:rsid w:val="2B9D1BD3"/>
    <w:rsid w:val="2BBD4024"/>
    <w:rsid w:val="2BE710A1"/>
    <w:rsid w:val="2BEC4E50"/>
    <w:rsid w:val="2BEE0CF4"/>
    <w:rsid w:val="2BFA7026"/>
    <w:rsid w:val="2C493B09"/>
    <w:rsid w:val="2C6C741A"/>
    <w:rsid w:val="2CCB451E"/>
    <w:rsid w:val="2CEB696E"/>
    <w:rsid w:val="2D3227EF"/>
    <w:rsid w:val="2DAD507A"/>
    <w:rsid w:val="2DBD4DA3"/>
    <w:rsid w:val="2E112405"/>
    <w:rsid w:val="2E47051C"/>
    <w:rsid w:val="2E4C28BA"/>
    <w:rsid w:val="2EA717F9"/>
    <w:rsid w:val="2EB5336C"/>
    <w:rsid w:val="2ECE311C"/>
    <w:rsid w:val="2EF15364"/>
    <w:rsid w:val="2EF46877"/>
    <w:rsid w:val="2F4B5DEA"/>
    <w:rsid w:val="2F511653"/>
    <w:rsid w:val="2F6D353B"/>
    <w:rsid w:val="2FD50DD5"/>
    <w:rsid w:val="2FEA2895"/>
    <w:rsid w:val="30444D13"/>
    <w:rsid w:val="30705B08"/>
    <w:rsid w:val="30806B9E"/>
    <w:rsid w:val="30907F59"/>
    <w:rsid w:val="30911194"/>
    <w:rsid w:val="30BD1BEA"/>
    <w:rsid w:val="312100E5"/>
    <w:rsid w:val="31F938DC"/>
    <w:rsid w:val="31FF66BF"/>
    <w:rsid w:val="32282079"/>
    <w:rsid w:val="324059AE"/>
    <w:rsid w:val="32807B59"/>
    <w:rsid w:val="32D103B5"/>
    <w:rsid w:val="330A3B0F"/>
    <w:rsid w:val="332A49EF"/>
    <w:rsid w:val="332C260D"/>
    <w:rsid w:val="33332E1D"/>
    <w:rsid w:val="33652405"/>
    <w:rsid w:val="336D7B8D"/>
    <w:rsid w:val="338813BB"/>
    <w:rsid w:val="33AA1331"/>
    <w:rsid w:val="33B3519B"/>
    <w:rsid w:val="34436E8B"/>
    <w:rsid w:val="34460CC7"/>
    <w:rsid w:val="345E02DE"/>
    <w:rsid w:val="34C00E94"/>
    <w:rsid w:val="34D643A8"/>
    <w:rsid w:val="356C2617"/>
    <w:rsid w:val="357F7479"/>
    <w:rsid w:val="35843E04"/>
    <w:rsid w:val="358451B5"/>
    <w:rsid w:val="3592207D"/>
    <w:rsid w:val="359A5469"/>
    <w:rsid w:val="35B571BA"/>
    <w:rsid w:val="36210F7F"/>
    <w:rsid w:val="362F1FC2"/>
    <w:rsid w:val="36341386"/>
    <w:rsid w:val="365D7262"/>
    <w:rsid w:val="36820344"/>
    <w:rsid w:val="36963287"/>
    <w:rsid w:val="36981195"/>
    <w:rsid w:val="36BF3A4D"/>
    <w:rsid w:val="37307DA0"/>
    <w:rsid w:val="37373D19"/>
    <w:rsid w:val="373B3185"/>
    <w:rsid w:val="3790092A"/>
    <w:rsid w:val="37A21EBB"/>
    <w:rsid w:val="37D03331"/>
    <w:rsid w:val="37D21801"/>
    <w:rsid w:val="383218F5"/>
    <w:rsid w:val="385260FE"/>
    <w:rsid w:val="387C7014"/>
    <w:rsid w:val="38A26A7B"/>
    <w:rsid w:val="38A82A8D"/>
    <w:rsid w:val="39307E67"/>
    <w:rsid w:val="396E2E01"/>
    <w:rsid w:val="39EC1EA3"/>
    <w:rsid w:val="3A062425"/>
    <w:rsid w:val="3A361B71"/>
    <w:rsid w:val="3A5A1166"/>
    <w:rsid w:val="3A72247D"/>
    <w:rsid w:val="3A791A5E"/>
    <w:rsid w:val="3AAF1923"/>
    <w:rsid w:val="3AC151B3"/>
    <w:rsid w:val="3B1B48C3"/>
    <w:rsid w:val="3B423508"/>
    <w:rsid w:val="3BB83FC8"/>
    <w:rsid w:val="3C117E67"/>
    <w:rsid w:val="3C5070AF"/>
    <w:rsid w:val="3C6C1A8B"/>
    <w:rsid w:val="3CED04E1"/>
    <w:rsid w:val="3D023F8C"/>
    <w:rsid w:val="3D6407A3"/>
    <w:rsid w:val="3DAD4C2B"/>
    <w:rsid w:val="3DBD4A37"/>
    <w:rsid w:val="3DDA6CB7"/>
    <w:rsid w:val="3E1C107E"/>
    <w:rsid w:val="3E477EFC"/>
    <w:rsid w:val="3E7A3FF6"/>
    <w:rsid w:val="3E895FE7"/>
    <w:rsid w:val="3EE6343A"/>
    <w:rsid w:val="3F1B1314"/>
    <w:rsid w:val="3F80388E"/>
    <w:rsid w:val="3F823162"/>
    <w:rsid w:val="40183F4C"/>
    <w:rsid w:val="401B1A9A"/>
    <w:rsid w:val="40215854"/>
    <w:rsid w:val="406D3E12"/>
    <w:rsid w:val="40A02FB4"/>
    <w:rsid w:val="40E44B1C"/>
    <w:rsid w:val="40E46730"/>
    <w:rsid w:val="40E65973"/>
    <w:rsid w:val="41145A72"/>
    <w:rsid w:val="412F731A"/>
    <w:rsid w:val="414A5F02"/>
    <w:rsid w:val="41635215"/>
    <w:rsid w:val="41700255"/>
    <w:rsid w:val="41A76EB0"/>
    <w:rsid w:val="41AC3C6F"/>
    <w:rsid w:val="41BF0D08"/>
    <w:rsid w:val="41DA54D8"/>
    <w:rsid w:val="422E59DA"/>
    <w:rsid w:val="42521512"/>
    <w:rsid w:val="42973B02"/>
    <w:rsid w:val="42A15FF5"/>
    <w:rsid w:val="430B3808"/>
    <w:rsid w:val="43223712"/>
    <w:rsid w:val="43374264"/>
    <w:rsid w:val="439911A8"/>
    <w:rsid w:val="44020D16"/>
    <w:rsid w:val="442E38B9"/>
    <w:rsid w:val="44854973"/>
    <w:rsid w:val="44B961B4"/>
    <w:rsid w:val="44DF4BB3"/>
    <w:rsid w:val="44E44EBC"/>
    <w:rsid w:val="45525385"/>
    <w:rsid w:val="455C36FC"/>
    <w:rsid w:val="457C4AF8"/>
    <w:rsid w:val="458A254D"/>
    <w:rsid w:val="459F02CC"/>
    <w:rsid w:val="45DE4033"/>
    <w:rsid w:val="466E61EE"/>
    <w:rsid w:val="46715CDF"/>
    <w:rsid w:val="46814BFF"/>
    <w:rsid w:val="46C978C9"/>
    <w:rsid w:val="46F0060A"/>
    <w:rsid w:val="470E218F"/>
    <w:rsid w:val="471C0BF2"/>
    <w:rsid w:val="4875313B"/>
    <w:rsid w:val="48C21B4E"/>
    <w:rsid w:val="49462350"/>
    <w:rsid w:val="496411C5"/>
    <w:rsid w:val="49D2118A"/>
    <w:rsid w:val="4AB9550F"/>
    <w:rsid w:val="4AF1414D"/>
    <w:rsid w:val="4BA257B6"/>
    <w:rsid w:val="4BFE2DE6"/>
    <w:rsid w:val="4C194E4E"/>
    <w:rsid w:val="4C1C66ED"/>
    <w:rsid w:val="4CD80866"/>
    <w:rsid w:val="4D287146"/>
    <w:rsid w:val="4D30704B"/>
    <w:rsid w:val="4D6E4D26"/>
    <w:rsid w:val="4DA10344"/>
    <w:rsid w:val="4E04568A"/>
    <w:rsid w:val="4E0833CC"/>
    <w:rsid w:val="4E231FB4"/>
    <w:rsid w:val="4E7E368F"/>
    <w:rsid w:val="4EA74993"/>
    <w:rsid w:val="4ED9377B"/>
    <w:rsid w:val="4EE4702F"/>
    <w:rsid w:val="4EEE4370"/>
    <w:rsid w:val="4F194FEC"/>
    <w:rsid w:val="4F253B0A"/>
    <w:rsid w:val="4F361873"/>
    <w:rsid w:val="4F372DF5"/>
    <w:rsid w:val="4F3D0E54"/>
    <w:rsid w:val="4FD817B6"/>
    <w:rsid w:val="50055806"/>
    <w:rsid w:val="508B3E41"/>
    <w:rsid w:val="508D5E0B"/>
    <w:rsid w:val="50A213E9"/>
    <w:rsid w:val="50B829BD"/>
    <w:rsid w:val="50CF1F80"/>
    <w:rsid w:val="50D92DFE"/>
    <w:rsid w:val="51200A2D"/>
    <w:rsid w:val="513D513B"/>
    <w:rsid w:val="51484B3A"/>
    <w:rsid w:val="51A67184"/>
    <w:rsid w:val="51DA3B1D"/>
    <w:rsid w:val="51E43809"/>
    <w:rsid w:val="521C46C2"/>
    <w:rsid w:val="52976ACD"/>
    <w:rsid w:val="52CA6EA2"/>
    <w:rsid w:val="52CD06BD"/>
    <w:rsid w:val="52F81A51"/>
    <w:rsid w:val="530C0576"/>
    <w:rsid w:val="535731A8"/>
    <w:rsid w:val="537253B4"/>
    <w:rsid w:val="542238A8"/>
    <w:rsid w:val="542D7344"/>
    <w:rsid w:val="543211B0"/>
    <w:rsid w:val="543F520E"/>
    <w:rsid w:val="54B41BB8"/>
    <w:rsid w:val="54E764DD"/>
    <w:rsid w:val="55841EF3"/>
    <w:rsid w:val="558A2919"/>
    <w:rsid w:val="55A82C9B"/>
    <w:rsid w:val="55AE2AAB"/>
    <w:rsid w:val="56184A69"/>
    <w:rsid w:val="565A053D"/>
    <w:rsid w:val="56625644"/>
    <w:rsid w:val="568850AA"/>
    <w:rsid w:val="56DF14D7"/>
    <w:rsid w:val="56E9366F"/>
    <w:rsid w:val="571A69C2"/>
    <w:rsid w:val="572823EA"/>
    <w:rsid w:val="57875362"/>
    <w:rsid w:val="57E035B6"/>
    <w:rsid w:val="58276B45"/>
    <w:rsid w:val="58324E4B"/>
    <w:rsid w:val="59162E41"/>
    <w:rsid w:val="593E42AA"/>
    <w:rsid w:val="596F4300"/>
    <w:rsid w:val="598B0206"/>
    <w:rsid w:val="59A0270B"/>
    <w:rsid w:val="59BA2AB8"/>
    <w:rsid w:val="59BC7377"/>
    <w:rsid w:val="5A3F0176"/>
    <w:rsid w:val="5A5631CC"/>
    <w:rsid w:val="5A5C0DF3"/>
    <w:rsid w:val="5AAE5B45"/>
    <w:rsid w:val="5AC468CD"/>
    <w:rsid w:val="5B370E4D"/>
    <w:rsid w:val="5B54465C"/>
    <w:rsid w:val="5B6836FC"/>
    <w:rsid w:val="5B8D0419"/>
    <w:rsid w:val="5B914F37"/>
    <w:rsid w:val="5B9B762E"/>
    <w:rsid w:val="5BB26726"/>
    <w:rsid w:val="5BF60D08"/>
    <w:rsid w:val="5BF934D3"/>
    <w:rsid w:val="5CB0535B"/>
    <w:rsid w:val="5CE15514"/>
    <w:rsid w:val="5D0D2F44"/>
    <w:rsid w:val="5D1C107F"/>
    <w:rsid w:val="5D6427F7"/>
    <w:rsid w:val="5E2356B9"/>
    <w:rsid w:val="5E472B4D"/>
    <w:rsid w:val="5E481638"/>
    <w:rsid w:val="5EB66668"/>
    <w:rsid w:val="5EBB68DA"/>
    <w:rsid w:val="5EC155FD"/>
    <w:rsid w:val="5ECE5972"/>
    <w:rsid w:val="5EDD249D"/>
    <w:rsid w:val="5EDF7D2B"/>
    <w:rsid w:val="5F530220"/>
    <w:rsid w:val="5F604BE4"/>
    <w:rsid w:val="5F735707"/>
    <w:rsid w:val="5F9920D6"/>
    <w:rsid w:val="5F9C5723"/>
    <w:rsid w:val="5FF21B3F"/>
    <w:rsid w:val="60974621"/>
    <w:rsid w:val="60AB140F"/>
    <w:rsid w:val="60B04E49"/>
    <w:rsid w:val="60CA4511"/>
    <w:rsid w:val="61023CAB"/>
    <w:rsid w:val="6106379C"/>
    <w:rsid w:val="611F1B92"/>
    <w:rsid w:val="6131514C"/>
    <w:rsid w:val="61565DA5"/>
    <w:rsid w:val="61593C76"/>
    <w:rsid w:val="61671D60"/>
    <w:rsid w:val="619F14FA"/>
    <w:rsid w:val="61C84EF5"/>
    <w:rsid w:val="61D07906"/>
    <w:rsid w:val="61D2367E"/>
    <w:rsid w:val="61FE2B03"/>
    <w:rsid w:val="62092E18"/>
    <w:rsid w:val="62631FDB"/>
    <w:rsid w:val="62BE3C02"/>
    <w:rsid w:val="63174FCA"/>
    <w:rsid w:val="632B1B5B"/>
    <w:rsid w:val="634C7460"/>
    <w:rsid w:val="63575944"/>
    <w:rsid w:val="63612EA6"/>
    <w:rsid w:val="63626C83"/>
    <w:rsid w:val="63A252D2"/>
    <w:rsid w:val="640A35A3"/>
    <w:rsid w:val="641D38B4"/>
    <w:rsid w:val="643772D1"/>
    <w:rsid w:val="64836EB1"/>
    <w:rsid w:val="64E11136"/>
    <w:rsid w:val="65420B1A"/>
    <w:rsid w:val="66050601"/>
    <w:rsid w:val="660E26E7"/>
    <w:rsid w:val="664B032D"/>
    <w:rsid w:val="66500EAD"/>
    <w:rsid w:val="667734F6"/>
    <w:rsid w:val="66D201BF"/>
    <w:rsid w:val="6722055D"/>
    <w:rsid w:val="674A511F"/>
    <w:rsid w:val="67985D48"/>
    <w:rsid w:val="679E571C"/>
    <w:rsid w:val="67A65679"/>
    <w:rsid w:val="67B70D66"/>
    <w:rsid w:val="67DB00B7"/>
    <w:rsid w:val="67E82CB0"/>
    <w:rsid w:val="67E954CB"/>
    <w:rsid w:val="67FF2CF3"/>
    <w:rsid w:val="680D1C9B"/>
    <w:rsid w:val="68290BB8"/>
    <w:rsid w:val="68774F7F"/>
    <w:rsid w:val="688C2460"/>
    <w:rsid w:val="6896137A"/>
    <w:rsid w:val="68B93AF3"/>
    <w:rsid w:val="68D75A1D"/>
    <w:rsid w:val="68DB550E"/>
    <w:rsid w:val="68E02B24"/>
    <w:rsid w:val="68F53477"/>
    <w:rsid w:val="690D2242"/>
    <w:rsid w:val="690F4D1F"/>
    <w:rsid w:val="69665D63"/>
    <w:rsid w:val="69C21AB9"/>
    <w:rsid w:val="69D97F7C"/>
    <w:rsid w:val="69E93C5A"/>
    <w:rsid w:val="69F654A4"/>
    <w:rsid w:val="6A167142"/>
    <w:rsid w:val="6A2E3D63"/>
    <w:rsid w:val="6A9525B2"/>
    <w:rsid w:val="6AE0759F"/>
    <w:rsid w:val="6AE8109D"/>
    <w:rsid w:val="6B460DA8"/>
    <w:rsid w:val="6B574BF4"/>
    <w:rsid w:val="6B721E94"/>
    <w:rsid w:val="6B83011C"/>
    <w:rsid w:val="6B985213"/>
    <w:rsid w:val="6BCD0774"/>
    <w:rsid w:val="6C596D7E"/>
    <w:rsid w:val="6CF66663"/>
    <w:rsid w:val="6D824ABC"/>
    <w:rsid w:val="6DB3664B"/>
    <w:rsid w:val="6DC36570"/>
    <w:rsid w:val="6DEC0645"/>
    <w:rsid w:val="6DEF3809"/>
    <w:rsid w:val="6E0A419F"/>
    <w:rsid w:val="6E1D0376"/>
    <w:rsid w:val="6E207E0E"/>
    <w:rsid w:val="6EBE2933"/>
    <w:rsid w:val="6ED2050D"/>
    <w:rsid w:val="6F0E7364"/>
    <w:rsid w:val="6F242618"/>
    <w:rsid w:val="6F5C7B27"/>
    <w:rsid w:val="6FA4430E"/>
    <w:rsid w:val="6FA75CB0"/>
    <w:rsid w:val="6FD74B0A"/>
    <w:rsid w:val="701E424B"/>
    <w:rsid w:val="70366AFC"/>
    <w:rsid w:val="707D50FC"/>
    <w:rsid w:val="71820B08"/>
    <w:rsid w:val="71946BA2"/>
    <w:rsid w:val="71A14E1B"/>
    <w:rsid w:val="71C056F8"/>
    <w:rsid w:val="71CF3736"/>
    <w:rsid w:val="71D82849"/>
    <w:rsid w:val="72045B48"/>
    <w:rsid w:val="720876E8"/>
    <w:rsid w:val="72200435"/>
    <w:rsid w:val="72710C91"/>
    <w:rsid w:val="730A4FB9"/>
    <w:rsid w:val="73266265"/>
    <w:rsid w:val="73802053"/>
    <w:rsid w:val="739E3E26"/>
    <w:rsid w:val="73B7388D"/>
    <w:rsid w:val="73BB2CD4"/>
    <w:rsid w:val="74197000"/>
    <w:rsid w:val="7425299E"/>
    <w:rsid w:val="74367A9C"/>
    <w:rsid w:val="74714F78"/>
    <w:rsid w:val="74C432FA"/>
    <w:rsid w:val="74C45759"/>
    <w:rsid w:val="74D1269C"/>
    <w:rsid w:val="74FF4332"/>
    <w:rsid w:val="75097E07"/>
    <w:rsid w:val="75120509"/>
    <w:rsid w:val="753A7A60"/>
    <w:rsid w:val="75826D11"/>
    <w:rsid w:val="75B67CB0"/>
    <w:rsid w:val="75D67FA1"/>
    <w:rsid w:val="762D1373"/>
    <w:rsid w:val="763C3364"/>
    <w:rsid w:val="76446418"/>
    <w:rsid w:val="767476EE"/>
    <w:rsid w:val="76C9499F"/>
    <w:rsid w:val="7718792D"/>
    <w:rsid w:val="7722283A"/>
    <w:rsid w:val="77A45665"/>
    <w:rsid w:val="77CB0223"/>
    <w:rsid w:val="77EB3293"/>
    <w:rsid w:val="78396B23"/>
    <w:rsid w:val="786828FF"/>
    <w:rsid w:val="78AA6CAB"/>
    <w:rsid w:val="78E61816"/>
    <w:rsid w:val="790E3AE1"/>
    <w:rsid w:val="796E1A86"/>
    <w:rsid w:val="798123C3"/>
    <w:rsid w:val="79865D06"/>
    <w:rsid w:val="798958EC"/>
    <w:rsid w:val="798E3ED6"/>
    <w:rsid w:val="79A0266E"/>
    <w:rsid w:val="79FE105C"/>
    <w:rsid w:val="7A1E16FE"/>
    <w:rsid w:val="7A314C9A"/>
    <w:rsid w:val="7A41363F"/>
    <w:rsid w:val="7A8453E9"/>
    <w:rsid w:val="7AC322A6"/>
    <w:rsid w:val="7AF64429"/>
    <w:rsid w:val="7B0D02C2"/>
    <w:rsid w:val="7B3B3EC4"/>
    <w:rsid w:val="7B647318"/>
    <w:rsid w:val="7B6969A9"/>
    <w:rsid w:val="7BAF04B8"/>
    <w:rsid w:val="7BF83275"/>
    <w:rsid w:val="7C266648"/>
    <w:rsid w:val="7C605832"/>
    <w:rsid w:val="7C7D3D9E"/>
    <w:rsid w:val="7CD267D0"/>
    <w:rsid w:val="7CE20C05"/>
    <w:rsid w:val="7D3E2B11"/>
    <w:rsid w:val="7D8950E1"/>
    <w:rsid w:val="7DB31AC7"/>
    <w:rsid w:val="7DD118A7"/>
    <w:rsid w:val="7E4159BB"/>
    <w:rsid w:val="7E443428"/>
    <w:rsid w:val="7E483D52"/>
    <w:rsid w:val="7E4C610E"/>
    <w:rsid w:val="7E5F5E41"/>
    <w:rsid w:val="7E6706EE"/>
    <w:rsid w:val="7E8D6E52"/>
    <w:rsid w:val="7EE84089"/>
    <w:rsid w:val="7FAF4B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1" w:semiHidden="0" w:name="heading 3"/>
    <w:lsdException w:qFormat="1"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3"/>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26"/>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1"/>
    <w:pPr>
      <w:keepNext/>
      <w:keepLines/>
      <w:spacing w:before="260" w:beforeLines="0" w:after="260" w:afterLines="0" w:line="416" w:lineRule="auto"/>
      <w:outlineLvl w:val="2"/>
    </w:pPr>
    <w:rPr>
      <w:rFonts w:hint="default"/>
      <w:b/>
      <w:sz w:val="32"/>
      <w:szCs w:val="24"/>
    </w:rPr>
  </w:style>
  <w:style w:type="paragraph" w:styleId="5">
    <w:name w:val="heading 4"/>
    <w:basedOn w:val="1"/>
    <w:next w:val="1"/>
    <w:unhideWhenUsed/>
    <w:qFormat/>
    <w:uiPriority w:val="1"/>
    <w:pPr>
      <w:keepNext/>
      <w:keepLines/>
      <w:spacing w:before="104" w:beforeLines="0" w:after="290" w:afterLines="0" w:line="360" w:lineRule="auto"/>
      <w:ind w:left="1366" w:right="1503"/>
      <w:jc w:val="center"/>
      <w:outlineLvl w:val="3"/>
    </w:pPr>
    <w:rPr>
      <w:rFonts w:hint="default" w:ascii="Cambria" w:hAnsi="Cambria" w:eastAsia="宋体"/>
      <w:b/>
      <w:sz w:val="28"/>
      <w:szCs w:val="28"/>
    </w:rPr>
  </w:style>
  <w:style w:type="character" w:default="1" w:styleId="20">
    <w:name w:val="Default Paragraph Font"/>
    <w:semiHidden/>
    <w:unhideWhenUsed/>
    <w:qFormat/>
    <w:uiPriority w:val="1"/>
  </w:style>
  <w:style w:type="table" w:default="1" w:styleId="1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toc 7"/>
    <w:basedOn w:val="1"/>
    <w:next w:val="1"/>
    <w:qFormat/>
    <w:uiPriority w:val="0"/>
    <w:pPr>
      <w:ind w:left="1260"/>
      <w:jc w:val="left"/>
    </w:pPr>
    <w:rPr>
      <w:sz w:val="18"/>
      <w:szCs w:val="18"/>
    </w:rPr>
  </w:style>
  <w:style w:type="paragraph" w:styleId="7">
    <w:name w:val="annotation text"/>
    <w:basedOn w:val="1"/>
    <w:next w:val="1"/>
    <w:qFormat/>
    <w:uiPriority w:val="0"/>
    <w:pPr>
      <w:jc w:val="left"/>
    </w:pPr>
  </w:style>
  <w:style w:type="paragraph" w:styleId="8">
    <w:name w:val="Body Text"/>
    <w:basedOn w:val="1"/>
    <w:next w:val="1"/>
    <w:unhideWhenUsed/>
    <w:qFormat/>
    <w:uiPriority w:val="0"/>
    <w:pPr>
      <w:spacing w:after="120"/>
    </w:pPr>
    <w:rPr>
      <w:rFonts w:eastAsia="Times New Roman"/>
      <w:szCs w:val="20"/>
    </w:rPr>
  </w:style>
  <w:style w:type="paragraph" w:styleId="9">
    <w:name w:val="Body Text Indent"/>
    <w:basedOn w:val="1"/>
    <w:next w:val="10"/>
    <w:qFormat/>
    <w:uiPriority w:val="0"/>
    <w:pPr>
      <w:spacing w:after="120"/>
      <w:ind w:left="420" w:leftChars="200"/>
    </w:pPr>
  </w:style>
  <w:style w:type="paragraph" w:styleId="10">
    <w:name w:val="envelope return"/>
    <w:basedOn w:val="1"/>
    <w:qFormat/>
    <w:uiPriority w:val="0"/>
    <w:pPr>
      <w:widowControl/>
    </w:pPr>
    <w:rPr>
      <w:kern w:val="0"/>
      <w:sz w:val="22"/>
      <w:szCs w:val="20"/>
      <w:lang w:val="en-GB" w:eastAsia="en-US"/>
    </w:rPr>
  </w:style>
  <w:style w:type="paragraph" w:styleId="11">
    <w:name w:val="footer"/>
    <w:basedOn w:val="1"/>
    <w:unhideWhenUsed/>
    <w:qFormat/>
    <w:uiPriority w:val="0"/>
    <w:pPr>
      <w:tabs>
        <w:tab w:val="center" w:pos="4153"/>
        <w:tab w:val="right" w:pos="8306"/>
      </w:tabs>
      <w:snapToGrid w:val="0"/>
      <w:jc w:val="left"/>
    </w:pPr>
    <w:rPr>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qFormat/>
    <w:uiPriority w:val="0"/>
    <w:rPr>
      <w:sz w:val="36"/>
      <w:szCs w:val="36"/>
    </w:rPr>
  </w:style>
  <w:style w:type="paragraph" w:styleId="14">
    <w:name w:val="List"/>
    <w:basedOn w:val="1"/>
    <w:unhideWhenUsed/>
    <w:qFormat/>
    <w:uiPriority w:val="0"/>
    <w:pPr>
      <w:ind w:left="200" w:hanging="200" w:hangingChars="200"/>
      <w:contextualSpacing/>
    </w:pPr>
  </w:style>
  <w:style w:type="paragraph" w:styleId="15">
    <w:name w:val="Normal (Web)"/>
    <w:basedOn w:val="1"/>
    <w:qFormat/>
    <w:uiPriority w:val="0"/>
    <w:rPr>
      <w:sz w:val="24"/>
    </w:rPr>
  </w:style>
  <w:style w:type="paragraph" w:styleId="16">
    <w:name w:val="Title"/>
    <w:next w:val="1"/>
    <w:qFormat/>
    <w:uiPriority w:val="0"/>
    <w:pPr>
      <w:widowControl w:val="0"/>
      <w:spacing w:before="240" w:beforeLines="0" w:after="60" w:afterLines="0"/>
      <w:jc w:val="center"/>
      <w:outlineLvl w:val="0"/>
    </w:pPr>
    <w:rPr>
      <w:rFonts w:ascii="Cambria" w:hAnsi="Cambria" w:eastAsia="宋体" w:cs="Times New Roman"/>
      <w:b/>
      <w:bCs/>
      <w:kern w:val="2"/>
      <w:sz w:val="32"/>
      <w:szCs w:val="32"/>
      <w:lang w:val="en-US" w:eastAsia="zh-CN" w:bidi="ar-SA"/>
    </w:rPr>
  </w:style>
  <w:style w:type="paragraph" w:styleId="17">
    <w:name w:val="Body Text First Indent"/>
    <w:basedOn w:val="8"/>
    <w:next w:val="1"/>
    <w:qFormat/>
    <w:uiPriority w:val="0"/>
    <w:pPr>
      <w:keepNext w:val="0"/>
      <w:keepLines w:val="0"/>
      <w:widowControl w:val="0"/>
      <w:suppressLineNumbers w:val="0"/>
      <w:autoSpaceDE w:val="0"/>
      <w:autoSpaceDN w:val="0"/>
      <w:adjustRightInd w:val="0"/>
      <w:spacing w:line="360" w:lineRule="auto"/>
      <w:ind w:right="-24" w:rightChars="-10" w:firstLine="425" w:firstLineChars="225"/>
      <w:jc w:val="left"/>
    </w:pPr>
    <w:rPr>
      <w:rFonts w:hint="default" w:ascii="Arial" w:hAnsi="宋体" w:eastAsia="仿宋_GB2312" w:cs="Arial"/>
      <w:kern w:val="0"/>
      <w:sz w:val="24"/>
      <w:szCs w:val="24"/>
      <w:lang w:val="en-US" w:eastAsia="zh-CN" w:bidi="ar"/>
    </w:rPr>
  </w:style>
  <w:style w:type="paragraph" w:styleId="18">
    <w:name w:val="Body Text First Indent 2"/>
    <w:next w:val="14"/>
    <w:qFormat/>
    <w:uiPriority w:val="0"/>
    <w:pPr>
      <w:keepNext w:val="0"/>
      <w:keepLines w:val="0"/>
      <w:widowControl w:val="0"/>
      <w:suppressLineNumbers w:val="0"/>
      <w:spacing w:after="120" w:afterAutospacing="0" w:line="360" w:lineRule="auto"/>
      <w:ind w:left="420" w:leftChars="200" w:firstLine="420" w:firstLineChars="200"/>
      <w:jc w:val="both"/>
    </w:pPr>
    <w:rPr>
      <w:rFonts w:hint="default" w:ascii="Times New Roman" w:hAnsi="Times New Roman" w:eastAsia="宋体" w:cs="Times New Roman"/>
      <w:kern w:val="2"/>
      <w:sz w:val="21"/>
      <w:szCs w:val="21"/>
      <w:lang w:val="en-US" w:eastAsia="zh-CN" w:bidi="ar"/>
    </w:rPr>
  </w:style>
  <w:style w:type="character" w:styleId="21">
    <w:name w:val="page number"/>
    <w:qFormat/>
    <w:uiPriority w:val="0"/>
  </w:style>
  <w:style w:type="character" w:styleId="22">
    <w:name w:val="Hyperlink"/>
    <w:basedOn w:val="20"/>
    <w:qFormat/>
    <w:uiPriority w:val="0"/>
    <w:rPr>
      <w:rFonts w:cs="Times New Roman"/>
      <w:color w:val="0000FF"/>
      <w:u w:val="single"/>
    </w:rPr>
  </w:style>
  <w:style w:type="character" w:customStyle="1" w:styleId="23">
    <w:name w:val="标题 1 字符"/>
    <w:basedOn w:val="20"/>
    <w:link w:val="2"/>
    <w:qFormat/>
    <w:uiPriority w:val="0"/>
    <w:rPr>
      <w:b/>
      <w:bCs/>
      <w:kern w:val="44"/>
      <w:sz w:val="44"/>
      <w:szCs w:val="44"/>
    </w:rPr>
  </w:style>
  <w:style w:type="table" w:customStyle="1" w:styleId="24">
    <w:name w:val="Table Normal"/>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paragraph" w:customStyle="1" w:styleId="25">
    <w:name w:val="样式 标题 2 + Times New Roman 四号 非加粗 段前: 5 磅 段后: 0 磅 行距: 固定值 20..."/>
    <w:basedOn w:val="3"/>
    <w:qFormat/>
    <w:uiPriority w:val="0"/>
    <w:pPr>
      <w:spacing w:before="100" w:after="0" w:line="400" w:lineRule="exact"/>
      <w:ind w:firstLine="628"/>
      <w:jc w:val="center"/>
    </w:pPr>
    <w:rPr>
      <w:rFonts w:ascii="Times New Roman" w:hAnsi="Times New Roman" w:eastAsia="黑体" w:cs="Times New Roman"/>
      <w:b w:val="0"/>
      <w:bCs w:val="0"/>
      <w:sz w:val="28"/>
      <w:szCs w:val="28"/>
    </w:rPr>
  </w:style>
  <w:style w:type="character" w:customStyle="1" w:styleId="26">
    <w:name w:val="标题 2 Char"/>
    <w:link w:val="3"/>
    <w:qFormat/>
    <w:uiPriority w:val="0"/>
    <w:rPr>
      <w:rFonts w:asciiTheme="majorHAnsi" w:hAnsiTheme="majorHAnsi" w:eastAsiaTheme="majorEastAsia" w:cstheme="majorBidi"/>
      <w:b/>
      <w:bCs/>
      <w:sz w:val="32"/>
      <w:szCs w:val="32"/>
    </w:rPr>
  </w:style>
  <w:style w:type="paragraph" w:customStyle="1" w:styleId="27">
    <w:name w:val="Table Text"/>
    <w:basedOn w:val="1"/>
    <w:semiHidden/>
    <w:qFormat/>
    <w:uiPriority w:val="0"/>
    <w:rPr>
      <w:rFonts w:ascii="宋体" w:hAnsi="宋体" w:eastAsia="宋体" w:cs="宋体"/>
      <w:sz w:val="21"/>
      <w:szCs w:val="21"/>
      <w:lang w:val="en-US" w:eastAsia="en-US" w:bidi="ar-SA"/>
    </w:rPr>
  </w:style>
  <w:style w:type="paragraph" w:customStyle="1" w:styleId="28">
    <w:name w:val="列表段落1"/>
    <w:basedOn w:val="1"/>
    <w:qFormat/>
    <w:uiPriority w:val="0"/>
    <w:pPr>
      <w:keepNext w:val="0"/>
      <w:keepLines w:val="0"/>
      <w:widowControl w:val="0"/>
      <w:suppressLineNumbers w:val="0"/>
      <w:autoSpaceDE w:val="0"/>
      <w:autoSpaceDN w:val="0"/>
      <w:ind w:left="234" w:firstLine="434"/>
      <w:jc w:val="left"/>
    </w:pPr>
    <w:rPr>
      <w:rFonts w:hint="eastAsia" w:ascii="宋体" w:hAnsi="宋体" w:eastAsia="宋体" w:cs="宋体"/>
      <w:kern w:val="0"/>
      <w:sz w:val="22"/>
      <w:szCs w:val="22"/>
      <w:lang w:val="en-US" w:eastAsia="zh-CN" w:bidi="ar"/>
    </w:rPr>
  </w:style>
  <w:style w:type="paragraph" w:customStyle="1" w:styleId="29">
    <w:name w:val="Table Paragraph"/>
    <w:basedOn w:val="1"/>
    <w:qFormat/>
    <w:uiPriority w:val="0"/>
    <w:pPr>
      <w:keepNext w:val="0"/>
      <w:keepLines w:val="0"/>
      <w:widowControl w:val="0"/>
      <w:suppressLineNumbers w:val="0"/>
      <w:autoSpaceDE w:val="0"/>
      <w:autoSpaceDN w:val="0"/>
      <w:spacing w:before="0" w:beforeAutospacing="0" w:after="0" w:afterAutospacing="0"/>
      <w:ind w:left="0" w:right="0"/>
      <w:jc w:val="left"/>
    </w:pPr>
    <w:rPr>
      <w:rFonts w:hint="eastAsia" w:ascii="宋体" w:hAnsi="宋体" w:eastAsia="宋体" w:cs="宋体"/>
      <w:kern w:val="0"/>
      <w:sz w:val="22"/>
      <w:szCs w:val="22"/>
      <w:lang w:val="en-US" w:eastAsia="zh-CN" w:bidi="ar"/>
    </w:rPr>
  </w:style>
  <w:style w:type="paragraph" w:customStyle="1" w:styleId="30">
    <w:name w:val="Default"/>
    <w:basedOn w:val="1"/>
    <w:qFormat/>
    <w:uiPriority w:val="0"/>
    <w:pPr>
      <w:keepNext w:val="0"/>
      <w:keepLines w:val="0"/>
      <w:widowControl w:val="0"/>
      <w:suppressLineNumbers w:val="0"/>
      <w:autoSpaceDE w:val="0"/>
      <w:autoSpaceDN w:val="0"/>
      <w:adjustRightInd w:val="0"/>
      <w:spacing w:before="0" w:beforeAutospacing="0" w:after="0" w:afterAutospacing="0"/>
      <w:ind w:left="0" w:right="0"/>
      <w:jc w:val="left"/>
    </w:pPr>
    <w:rPr>
      <w:rFonts w:hint="default" w:ascii=".." w:hAnsi="Times New Roman" w:eastAsia=".." w:cs="Times New Roman"/>
      <w:color w:val="000000"/>
      <w:kern w:val="0"/>
      <w:sz w:val="24"/>
      <w:szCs w:val="24"/>
      <w:lang w:val="en-US" w:eastAsia="zh-CN" w:bidi="ar"/>
    </w:rPr>
  </w:style>
  <w:style w:type="character" w:customStyle="1" w:styleId="31">
    <w:name w:val="占位符文本1"/>
    <w:unhideWhenUsed/>
    <w:qFormat/>
    <w:uiPriority w:val="99"/>
    <w:rPr>
      <w:rFonts w:hint="default" w:cs="Times New Roman"/>
      <w:color w:val="808080"/>
      <w:sz w:val="24"/>
      <w:szCs w:val="24"/>
    </w:rPr>
  </w:style>
  <w:style w:type="paragraph" w:styleId="32">
    <w:name w:val="List Paragraph"/>
    <w:qFormat/>
    <w:uiPriority w:val="1"/>
    <w:pPr>
      <w:widowControl w:val="0"/>
      <w:ind w:firstLine="420" w:firstLineChars="200"/>
      <w:jc w:val="both"/>
    </w:pPr>
    <w:rPr>
      <w:rFonts w:ascii="Calibri" w:hAnsi="Calibri" w:eastAsia="宋体" w:cs="Times New Roman"/>
      <w:kern w:val="2"/>
      <w:sz w:val="21"/>
      <w:szCs w:val="22"/>
      <w:lang w:val="en-US" w:eastAsia="zh-CN" w:bidi="ar-SA"/>
    </w:rPr>
  </w:style>
  <w:style w:type="paragraph" w:customStyle="1" w:styleId="33">
    <w:name w:val="p15"/>
    <w:next w:val="7"/>
    <w:qFormat/>
    <w:uiPriority w:val="0"/>
    <w:pPr>
      <w:widowControl/>
      <w:jc w:val="both"/>
    </w:pPr>
    <w:rPr>
      <w:rFonts w:ascii="Times New Roman" w:hAnsi="Times New Roman" w:eastAsia="宋体" w:cs="Times New Roman"/>
      <w:kern w:val="0"/>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0C48D9-89C0-47AF-AA50-C0BD236C9828}">
  <ds:schemaRefs/>
</ds:datastoreItem>
</file>

<file path=docProps/app.xml><?xml version="1.0" encoding="utf-8"?>
<Properties xmlns="http://schemas.openxmlformats.org/officeDocument/2006/extended-properties" xmlns:vt="http://schemas.openxmlformats.org/officeDocument/2006/docPropsVTypes">
  <Template>Normal</Template>
  <Pages>53</Pages>
  <Words>50</Words>
  <Characters>79</Characters>
  <Lines>1</Lines>
  <Paragraphs>1</Paragraphs>
  <TotalTime>805</TotalTime>
  <ScaleCrop>false</ScaleCrop>
  <LinksUpToDate>false</LinksUpToDate>
  <CharactersWithSpaces>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2023-05-08T08:24:00Z</dcterms:created>
  <dc:creator>不懂²</dc:creator>
  <cp:lastModifiedBy>SCJ</cp:lastModifiedBy>
  <cp:lastPrinted>2026-04-02T07:54:00Z</cp:lastPrinted>
  <dcterms:modified xsi:type="dcterms:W3CDTF">2026-10-22T08:52:14Z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eyJoZGlkIjoiYzgxNzJmZDA1ODg3ODA0ZWI1NDQyNTI4ZDUzODhkZmYiLCJ1c2VySWQiOiI3MjgwODA3OTEifQ==</vt:lpwstr>
  </property>
  <property fmtid="{D5CDD505-2E9C-101B-9397-08002B2CF9AE}" pid="4" name="ICV">
    <vt:lpwstr>232EF5A65A5347F2BC8B99065D419246_13</vt:lpwstr>
  </property>
</Properties>
</file>